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黑体" w:hAnsi="黑体" w:eastAsia="黑体"/>
          <w:sz w:val="30"/>
          <w:szCs w:val="30"/>
        </w:rPr>
      </w:pPr>
      <w:bookmarkStart w:id="0" w:name="_Toc481565710"/>
      <w:r>
        <w:rPr>
          <w:rFonts w:hint="eastAsia" w:ascii="黑体" w:hAnsi="黑体" w:eastAsia="黑体"/>
          <w:sz w:val="30"/>
          <w:szCs w:val="30"/>
        </w:rPr>
        <w:t>中国水产学会团体标准</w:t>
      </w:r>
    </w:p>
    <w:p>
      <w:pPr>
        <w:spacing w:before="156" w:beforeLines="50" w:after="156" w:afterLines="50"/>
        <w:jc w:val="center"/>
        <w:rPr>
          <w:rFonts w:ascii="黑体" w:hAnsi="黑体" w:eastAsia="黑体"/>
          <w:sz w:val="30"/>
          <w:szCs w:val="30"/>
          <w:highlight w:val="none"/>
        </w:rPr>
      </w:pPr>
      <w:r>
        <w:rPr>
          <w:rFonts w:hint="eastAsia" w:ascii="黑体" w:hAnsi="黑体" w:eastAsia="黑体"/>
          <w:sz w:val="30"/>
          <w:szCs w:val="30"/>
          <w:highlight w:val="none"/>
        </w:rPr>
        <w:t>《陆基圆池循环水养殖尾水处理技术规范》编制说明</w:t>
      </w:r>
    </w:p>
    <w:bookmarkEnd w:id="0"/>
    <w:p>
      <w:pPr>
        <w:pStyle w:val="2"/>
        <w:spacing w:before="156" w:beforeLines="50" w:after="156" w:afterLines="50" w:line="360" w:lineRule="auto"/>
        <w:rPr>
          <w:rFonts w:ascii="宋体" w:hAnsi="宋体"/>
          <w:b w:val="0"/>
          <w:sz w:val="24"/>
          <w:szCs w:val="24"/>
        </w:rPr>
      </w:pPr>
      <w:bookmarkStart w:id="1" w:name="_Toc481565711"/>
      <w:bookmarkStart w:id="2" w:name="_Toc12612483"/>
      <w:r>
        <w:rPr>
          <w:rFonts w:hint="eastAsia" w:ascii="宋体" w:hAnsi="宋体"/>
          <w:sz w:val="24"/>
          <w:szCs w:val="24"/>
        </w:rPr>
        <w:t>一、工作过程</w:t>
      </w:r>
      <w:bookmarkEnd w:id="1"/>
      <w:bookmarkEnd w:id="2"/>
      <w:bookmarkStart w:id="17" w:name="_GoBack"/>
      <w:bookmarkEnd w:id="17"/>
    </w:p>
    <w:p>
      <w:pPr>
        <w:pStyle w:val="40"/>
        <w:spacing w:before="156" w:beforeLines="50" w:after="156" w:afterLines="50" w:line="360" w:lineRule="auto"/>
        <w:outlineLvl w:val="2"/>
        <w:rPr>
          <w:rFonts w:ascii="宋体" w:hAnsi="宋体" w:cs="黑体"/>
          <w:b/>
          <w:kern w:val="2"/>
          <w:sz w:val="24"/>
          <w:szCs w:val="24"/>
        </w:rPr>
      </w:pPr>
      <w:bookmarkStart w:id="3" w:name="_Toc532896666"/>
      <w:bookmarkStart w:id="4" w:name="_Toc481565712"/>
      <w:r>
        <w:rPr>
          <w:rFonts w:ascii="宋体" w:hAnsi="宋体" w:cs="黑体"/>
          <w:b/>
          <w:kern w:val="2"/>
          <w:sz w:val="24"/>
          <w:szCs w:val="24"/>
        </w:rPr>
        <w:t>1.</w:t>
      </w:r>
      <w:r>
        <w:rPr>
          <w:rFonts w:hint="eastAsia" w:ascii="宋体" w:hAnsi="宋体" w:cs="黑体"/>
          <w:b/>
          <w:kern w:val="2"/>
          <w:sz w:val="24"/>
          <w:szCs w:val="24"/>
        </w:rPr>
        <w:t>任务来源与目的意义</w:t>
      </w:r>
    </w:p>
    <w:p>
      <w:pPr>
        <w:spacing w:line="360" w:lineRule="auto"/>
        <w:ind w:firstLine="480" w:firstLineChars="200"/>
        <w:rPr>
          <w:rFonts w:ascii="宋体" w:hAnsi="宋体"/>
          <w:sz w:val="24"/>
          <w:szCs w:val="24"/>
        </w:rPr>
      </w:pPr>
      <w:r>
        <w:rPr>
          <w:rFonts w:hint="eastAsia" w:ascii="宋体" w:hAnsi="宋体"/>
          <w:sz w:val="24"/>
          <w:szCs w:val="24"/>
        </w:rPr>
        <w:t>1.1任务来源</w:t>
      </w:r>
    </w:p>
    <w:p>
      <w:pPr>
        <w:spacing w:line="360" w:lineRule="auto"/>
        <w:ind w:firstLine="480" w:firstLineChars="200"/>
        <w:rPr>
          <w:rFonts w:ascii="宋体" w:hAnsi="宋体"/>
          <w:sz w:val="24"/>
          <w:szCs w:val="24"/>
        </w:rPr>
      </w:pPr>
      <w:r>
        <w:rPr>
          <w:rFonts w:ascii="宋体" w:hAnsi="宋体"/>
          <w:sz w:val="24"/>
          <w:szCs w:val="24"/>
        </w:rPr>
        <w:t>2023</w:t>
      </w:r>
      <w:r>
        <w:rPr>
          <w:rFonts w:hint="eastAsia" w:ascii="宋体" w:hAnsi="宋体"/>
          <w:sz w:val="24"/>
          <w:szCs w:val="24"/>
        </w:rPr>
        <w:t>年10月中国水产学会下达2023年第二批团体标准项目计划的通知，《陆基圆池循环水养殖尾水处理技术操作规范》经中国水产学会批准立项，列入2023年中国水产学会第二批团体标准项目计划。</w:t>
      </w:r>
    </w:p>
    <w:p>
      <w:pPr>
        <w:spacing w:line="360" w:lineRule="auto"/>
        <w:ind w:firstLine="480" w:firstLineChars="200"/>
        <w:rPr>
          <w:rFonts w:ascii="宋体" w:hAnsi="宋体"/>
          <w:sz w:val="24"/>
          <w:szCs w:val="24"/>
        </w:rPr>
      </w:pPr>
      <w:r>
        <w:rPr>
          <w:rFonts w:hint="eastAsia" w:ascii="宋体" w:hAnsi="宋体"/>
          <w:sz w:val="24"/>
          <w:szCs w:val="24"/>
        </w:rPr>
        <w:t>1.2目的意义</w:t>
      </w:r>
    </w:p>
    <w:p>
      <w:pPr>
        <w:spacing w:line="360" w:lineRule="auto"/>
        <w:ind w:firstLine="480" w:firstLineChars="200"/>
        <w:rPr>
          <w:rFonts w:ascii="宋体" w:hAnsi="宋体"/>
          <w:sz w:val="24"/>
          <w:szCs w:val="24"/>
        </w:rPr>
      </w:pPr>
      <w:r>
        <w:rPr>
          <w:rFonts w:hint="eastAsia" w:ascii="宋体" w:hAnsi="宋体"/>
          <w:sz w:val="24"/>
          <w:szCs w:val="24"/>
        </w:rPr>
        <w:t>《中华人民共和国国民经济和社会发展第十四个五年规划和 2035 年远景目标纲要》提出“在水产养殖主产区推进养殖尾水处理”。《关于加快推进水产养殖业绿色发展的若干意见》（农渔发〔2019〕1号）提出“大力实施池塘标准化改造，完善循环水和进排水处理设施，支持生态沟渠、生态塘、潜流湿地等尾水处理设施升级改造”“推动养殖尾水资源化利用或达标排放”。 农业农村部办公厅关于实施水产绿色健康养殖技术推广“五大行动”的通知（农办渔〔2021〕6号）中强调推广应用多种形式的水产养殖尾水处理技术模式，促进实现水产养殖尾水资源化综合利用或达标排放。陆基圆池循环水养殖模式具有节水节地，养殖密度高，经济效益高等特点，由陆基圆池、集排污、尾水处理系统等组成，通过一系列水处理单元将陆基圆池中产生的残饵粪便、氨氮、亚硝酸盐氮等有害污染物加以去除，净化养殖水体环境为目的，利用物理过滤、生物过滤、消毒、增氧等处理将净化后的水体重新输入陆基圆池的过程。陆基圆池循环水养殖不仅可以解决水资源利用率低的问题，还可以为养殖生物提供稳定可靠、舒适优质的生活环境，为高密度养殖提供有利条件。但陆基圆池循环水养殖尾水处理技术还未形成科学的标准体系，养殖单位缺乏技术参考。为构建和完善陆基圆池循环水养殖标准体系，科学指导陆基圆池循环水养殖，促进水产养殖业持续健康发展，特制定本方案。</w:t>
      </w:r>
    </w:p>
    <w:p>
      <w:pPr>
        <w:spacing w:line="360" w:lineRule="auto"/>
        <w:ind w:firstLine="480" w:firstLineChars="200"/>
        <w:rPr>
          <w:rFonts w:ascii="宋体" w:hAnsi="宋体"/>
          <w:sz w:val="24"/>
          <w:szCs w:val="24"/>
        </w:rPr>
      </w:pPr>
      <w:r>
        <w:rPr>
          <w:rFonts w:hint="eastAsia" w:ascii="宋体" w:hAnsi="宋体"/>
          <w:sz w:val="24"/>
          <w:szCs w:val="24"/>
        </w:rPr>
        <w:t>本标准的编制起草单位长期从事淡水水产健康养殖的科学研究与技术示范工作，已在荆州、武汉多个养殖基地开展了工程化养殖研究、池塘水质变化生态过程、健康养殖模式与技术等多项研究工作。在此基础上，结合已有的文献资料和国内外先进技术经验，制定陆基圆池循环水养殖尾水处理技术规范，有助于进一步规范和指导科研单位和养殖户开展工程化健康养殖，对促进水产养殖行业的健康可持续发展有重要的意义。</w:t>
      </w:r>
    </w:p>
    <w:p>
      <w:pPr>
        <w:pStyle w:val="40"/>
        <w:spacing w:before="156" w:beforeLines="50" w:after="156" w:afterLines="50" w:line="360" w:lineRule="auto"/>
        <w:outlineLvl w:val="2"/>
        <w:rPr>
          <w:rFonts w:ascii="宋体" w:hAnsi="宋体" w:cs="黑体"/>
          <w:b/>
          <w:kern w:val="2"/>
          <w:sz w:val="24"/>
          <w:szCs w:val="24"/>
        </w:rPr>
      </w:pPr>
      <w:r>
        <w:rPr>
          <w:rFonts w:hint="eastAsia" w:ascii="宋体" w:hAnsi="宋体" w:cs="黑体"/>
          <w:b/>
          <w:kern w:val="2"/>
          <w:sz w:val="24"/>
          <w:szCs w:val="24"/>
        </w:rPr>
        <w:t>2</w:t>
      </w:r>
      <w:r>
        <w:rPr>
          <w:rFonts w:ascii="宋体" w:hAnsi="宋体" w:cs="黑体"/>
          <w:b/>
          <w:kern w:val="2"/>
          <w:sz w:val="24"/>
          <w:szCs w:val="24"/>
        </w:rPr>
        <w:t>.</w:t>
      </w:r>
      <w:r>
        <w:rPr>
          <w:rFonts w:hint="eastAsia" w:ascii="宋体" w:hAnsi="宋体" w:cs="黑体"/>
          <w:b/>
          <w:kern w:val="2"/>
          <w:sz w:val="24"/>
          <w:szCs w:val="24"/>
        </w:rPr>
        <w:t>主要工作过程</w:t>
      </w:r>
    </w:p>
    <w:bookmarkEnd w:id="3"/>
    <w:bookmarkEnd w:id="4"/>
    <w:p>
      <w:pPr>
        <w:pStyle w:val="40"/>
        <w:spacing w:line="360" w:lineRule="auto"/>
        <w:ind w:firstLine="480" w:firstLineChars="200"/>
        <w:rPr>
          <w:rFonts w:ascii="宋体" w:hAnsi="宋体" w:cs="黑体"/>
          <w:kern w:val="2"/>
          <w:sz w:val="24"/>
          <w:szCs w:val="24"/>
        </w:rPr>
      </w:pPr>
      <w:r>
        <w:rPr>
          <w:rFonts w:hint="eastAsia" w:ascii="宋体" w:hAnsi="宋体" w:cs="黑体"/>
          <w:kern w:val="2"/>
          <w:sz w:val="24"/>
          <w:szCs w:val="24"/>
        </w:rPr>
        <w:t>2023年9月28日，由华中农业大学向中国水产学会提交了中国水产学会团体标准立项申请书标准立项申请书。2023年</w:t>
      </w:r>
      <w:r>
        <w:rPr>
          <w:rFonts w:hint="eastAsia" w:ascii="宋体" w:hAnsi="宋体"/>
          <w:sz w:val="24"/>
          <w:szCs w:val="24"/>
        </w:rPr>
        <w:t>10月18</w:t>
      </w:r>
      <w:r>
        <w:rPr>
          <w:rFonts w:hint="eastAsia" w:ascii="宋体" w:hAnsi="宋体" w:cs="黑体"/>
          <w:kern w:val="2"/>
          <w:sz w:val="24"/>
          <w:szCs w:val="24"/>
        </w:rPr>
        <w:t>日，接到中国水产学会下达的团体标准立项论证的通知，经过中国水产学会团体标准专家组的函审，同意《陆基圆池循环水养殖尾水处理技术操作规范》团体标准立项。</w:t>
      </w:r>
    </w:p>
    <w:p>
      <w:pPr>
        <w:pStyle w:val="40"/>
        <w:spacing w:line="360" w:lineRule="auto"/>
        <w:ind w:firstLine="480" w:firstLineChars="200"/>
        <w:rPr>
          <w:rFonts w:ascii="宋体" w:hAnsi="宋体" w:cs="黑体"/>
          <w:kern w:val="2"/>
          <w:sz w:val="24"/>
          <w:szCs w:val="24"/>
        </w:rPr>
      </w:pPr>
      <w:r>
        <w:rPr>
          <w:rFonts w:hint="eastAsia" w:ascii="宋体" w:hAnsi="宋体" w:cs="黑体"/>
          <w:kern w:val="2"/>
          <w:sz w:val="24"/>
          <w:szCs w:val="24"/>
        </w:rPr>
        <w:t>2023年10月，有关技术人员参加《陆基圆池循环水养殖尾水处理技术操作规范》团体标准编制工作研讨会，讨论《陆基圆池循环水养殖尾水处理技术操作规范》编制框架和主要技术内容。同意将《陆基圆池循环水养殖尾水处理技术操作规范》名称更改为《陆基圆池循环水养殖尾水处理技术规范》。2023年10月下旬成立《陆基圆池循环水养殖尾水处理技术规范》标准编写小组。由华中农业大学牵头组织，各参与单位技术骨干具体承担标准编制工作。</w:t>
      </w:r>
    </w:p>
    <w:p>
      <w:pPr>
        <w:pStyle w:val="40"/>
        <w:spacing w:line="360" w:lineRule="auto"/>
        <w:ind w:firstLine="480" w:firstLineChars="200"/>
        <w:rPr>
          <w:rFonts w:ascii="宋体" w:hAnsi="宋体" w:cs="黑体"/>
          <w:kern w:val="2"/>
          <w:sz w:val="24"/>
          <w:szCs w:val="24"/>
        </w:rPr>
      </w:pPr>
      <w:r>
        <w:rPr>
          <w:rFonts w:hint="eastAsia" w:ascii="宋体" w:hAnsi="宋体" w:cs="黑体"/>
          <w:kern w:val="2"/>
          <w:sz w:val="24"/>
          <w:szCs w:val="24"/>
        </w:rPr>
        <w:t>2023年10月下旬到11月初，起草工作组编制完成《陆基圆池循环水养殖尾水处理操作规范》(征求意见稿)初稿。编写过程中，通过多种途径搜集资料。对国内外与之相关技术文献及成果或范例，进行了全面的研究分析、借鉴。并坚持与我国海洋生物资源开发装备技术发展水平相适应的原则，以科学发展观为指导，紧密围绕国家经济社会发展大局，编制科学、合理、适用的，符合我国水产领域发展国情、国家发展战略需要。</w:t>
      </w:r>
    </w:p>
    <w:p>
      <w:pPr>
        <w:pStyle w:val="40"/>
        <w:spacing w:line="360" w:lineRule="auto"/>
        <w:ind w:firstLine="480" w:firstLineChars="200"/>
        <w:rPr>
          <w:rFonts w:hint="eastAsia" w:ascii="宋体" w:hAnsi="宋体" w:cs="黑体"/>
          <w:kern w:val="2"/>
          <w:sz w:val="24"/>
          <w:szCs w:val="24"/>
        </w:rPr>
      </w:pPr>
      <w:r>
        <w:rPr>
          <w:rFonts w:hint="eastAsia" w:ascii="宋体" w:hAnsi="宋体" w:cs="黑体"/>
          <w:kern w:val="2"/>
          <w:sz w:val="24"/>
          <w:szCs w:val="24"/>
        </w:rPr>
        <w:t>2023年7月到2023年10月，起草工作组有关技术人员组建了技术分析小组，在位于武汉市黄陂区的武汉华丰聚生态农业发展有限公司和武汉市五七东方水产养殖有限责任公司开展了技术验证试验。小组充分考察研究了尾水处理相关设施设备，针对性的开展了尾水处理情况的采样调查，设置了养殖池、过滤坝、生物净化池和沉淀曝气池等多个位点，验证采样共持续4个月，得到了较为充分的技术验证资料。</w:t>
      </w:r>
    </w:p>
    <w:p>
      <w:pPr>
        <w:pStyle w:val="40"/>
        <w:spacing w:before="156" w:beforeLines="50" w:after="156" w:afterLines="50" w:line="360" w:lineRule="auto"/>
        <w:outlineLvl w:val="2"/>
        <w:rPr>
          <w:rFonts w:ascii="宋体" w:hAnsi="宋体" w:cs="黑体"/>
          <w:b/>
          <w:kern w:val="2"/>
          <w:sz w:val="24"/>
          <w:szCs w:val="24"/>
        </w:rPr>
      </w:pPr>
      <w:r>
        <w:rPr>
          <w:rFonts w:ascii="宋体" w:hAnsi="宋体" w:cs="黑体"/>
          <w:b/>
          <w:kern w:val="2"/>
          <w:sz w:val="24"/>
          <w:szCs w:val="24"/>
        </w:rPr>
        <w:t>3.</w:t>
      </w:r>
      <w:r>
        <w:rPr>
          <w:rFonts w:hint="eastAsia" w:ascii="宋体" w:hAnsi="宋体" w:cs="黑体"/>
          <w:b/>
          <w:kern w:val="2"/>
          <w:sz w:val="24"/>
          <w:szCs w:val="24"/>
        </w:rPr>
        <w:t>起草和参加单位</w:t>
      </w:r>
    </w:p>
    <w:p>
      <w:pPr>
        <w:pStyle w:val="40"/>
        <w:spacing w:line="360" w:lineRule="auto"/>
        <w:ind w:firstLine="480" w:firstLineChars="200"/>
        <w:rPr>
          <w:rFonts w:ascii="宋体" w:hAnsi="宋体" w:cs="黑体"/>
          <w:kern w:val="2"/>
          <w:sz w:val="24"/>
          <w:szCs w:val="24"/>
        </w:rPr>
      </w:pPr>
      <w:r>
        <w:rPr>
          <w:rFonts w:hint="eastAsia" w:ascii="宋体" w:hAnsi="宋体" w:cs="黑体"/>
          <w:kern w:val="2"/>
          <w:sz w:val="24"/>
          <w:szCs w:val="24"/>
        </w:rPr>
        <w:t>本标准由华中农业大学负责起草和项目的组织实施，湖北省水产技术推广总站、全国水产技术推广总站、武汉华丰聚生态农业发展有限公司、武汉市五七东方水产养殖有限责任公司共同参加标准的编制和修改。</w:t>
      </w:r>
    </w:p>
    <w:p>
      <w:pPr>
        <w:pStyle w:val="40"/>
        <w:spacing w:before="156" w:beforeLines="50" w:after="156" w:afterLines="50" w:line="360" w:lineRule="auto"/>
        <w:outlineLvl w:val="2"/>
        <w:rPr>
          <w:rFonts w:ascii="宋体" w:hAnsi="宋体" w:cs="黑体"/>
          <w:b/>
          <w:kern w:val="2"/>
          <w:sz w:val="24"/>
          <w:szCs w:val="24"/>
        </w:rPr>
      </w:pPr>
      <w:bookmarkStart w:id="5" w:name="_Toc532896667"/>
      <w:bookmarkStart w:id="6" w:name="_Toc481565713"/>
      <w:r>
        <w:rPr>
          <w:rFonts w:hint="eastAsia" w:ascii="宋体" w:hAnsi="宋体" w:cs="黑体"/>
          <w:b/>
          <w:kern w:val="2"/>
          <w:sz w:val="24"/>
          <w:szCs w:val="24"/>
        </w:rPr>
        <w:t>4</w:t>
      </w:r>
      <w:r>
        <w:rPr>
          <w:rFonts w:ascii="宋体" w:hAnsi="宋体" w:cs="黑体"/>
          <w:b/>
          <w:kern w:val="2"/>
          <w:sz w:val="24"/>
          <w:szCs w:val="24"/>
        </w:rPr>
        <w:t>.</w:t>
      </w:r>
      <w:r>
        <w:rPr>
          <w:rFonts w:hint="eastAsia" w:ascii="宋体" w:hAnsi="宋体" w:cs="黑体"/>
          <w:b/>
          <w:kern w:val="2"/>
          <w:sz w:val="24"/>
          <w:szCs w:val="24"/>
        </w:rPr>
        <w:t>编写组成员工作分工</w:t>
      </w:r>
      <w:bookmarkEnd w:id="5"/>
      <w:bookmarkEnd w:id="6"/>
    </w:p>
    <w:p>
      <w:pPr>
        <w:pStyle w:val="40"/>
        <w:spacing w:line="360" w:lineRule="auto"/>
        <w:ind w:firstLine="480" w:firstLineChars="200"/>
        <w:rPr>
          <w:rFonts w:ascii="宋体" w:hAnsi="宋体"/>
          <w:bCs/>
          <w:sz w:val="24"/>
          <w:szCs w:val="24"/>
        </w:rPr>
      </w:pPr>
      <w:r>
        <w:rPr>
          <w:rFonts w:hint="eastAsia" w:ascii="宋体" w:hAnsi="宋体"/>
          <w:bCs/>
          <w:sz w:val="24"/>
          <w:szCs w:val="24"/>
        </w:rPr>
        <w:t>李大鹏，华中农业大学，总负责人，负责技术规范框架结构和内容的确定；</w:t>
      </w:r>
    </w:p>
    <w:p>
      <w:pPr>
        <w:pStyle w:val="40"/>
        <w:spacing w:line="360" w:lineRule="auto"/>
        <w:ind w:firstLine="480" w:firstLineChars="200"/>
        <w:rPr>
          <w:rFonts w:ascii="宋体" w:hAnsi="宋体"/>
          <w:bCs/>
          <w:sz w:val="24"/>
          <w:szCs w:val="24"/>
        </w:rPr>
      </w:pPr>
      <w:r>
        <w:rPr>
          <w:rFonts w:hint="eastAsia" w:ascii="宋体" w:hAnsi="宋体"/>
          <w:bCs/>
          <w:sz w:val="24"/>
          <w:szCs w:val="24"/>
        </w:rPr>
        <w:t>胡振，湖北省水产技术推广总站，联系人，负责技术规范总体推进；</w:t>
      </w:r>
    </w:p>
    <w:p>
      <w:pPr>
        <w:pStyle w:val="40"/>
        <w:spacing w:line="360" w:lineRule="auto"/>
        <w:ind w:firstLine="480" w:firstLineChars="200"/>
        <w:rPr>
          <w:rFonts w:ascii="宋体" w:hAnsi="宋体"/>
          <w:bCs/>
          <w:sz w:val="24"/>
          <w:szCs w:val="24"/>
        </w:rPr>
      </w:pPr>
      <w:r>
        <w:rPr>
          <w:rFonts w:hint="eastAsia" w:ascii="宋体" w:hAnsi="宋体"/>
          <w:bCs/>
          <w:sz w:val="24"/>
          <w:szCs w:val="24"/>
        </w:rPr>
        <w:t>李明爽，全国水产技术推广总站，负责技术规范的相关法律法规政策的指导；</w:t>
      </w:r>
    </w:p>
    <w:p>
      <w:pPr>
        <w:pStyle w:val="40"/>
        <w:spacing w:line="360" w:lineRule="auto"/>
        <w:ind w:firstLine="480" w:firstLineChars="200"/>
        <w:rPr>
          <w:rFonts w:ascii="宋体" w:hAnsi="宋体"/>
          <w:bCs/>
          <w:sz w:val="24"/>
          <w:szCs w:val="24"/>
        </w:rPr>
      </w:pPr>
      <w:r>
        <w:rPr>
          <w:rFonts w:hint="eastAsia" w:ascii="宋体" w:hAnsi="宋体"/>
          <w:bCs/>
          <w:sz w:val="24"/>
          <w:szCs w:val="24"/>
        </w:rPr>
        <w:t>汤蓉，华中农业大学，负责技术规范的撰写和技术验证。</w:t>
      </w:r>
    </w:p>
    <w:p>
      <w:pPr>
        <w:pStyle w:val="40"/>
        <w:spacing w:line="360" w:lineRule="auto"/>
        <w:ind w:firstLine="480" w:firstLineChars="200"/>
        <w:rPr>
          <w:rFonts w:ascii="宋体" w:hAnsi="宋体"/>
          <w:bCs/>
          <w:sz w:val="24"/>
          <w:szCs w:val="24"/>
        </w:rPr>
      </w:pPr>
      <w:r>
        <w:rPr>
          <w:rFonts w:hint="eastAsia" w:ascii="宋体" w:hAnsi="宋体"/>
          <w:bCs/>
          <w:sz w:val="24"/>
          <w:szCs w:val="24"/>
        </w:rPr>
        <w:t>张龙，全国水产技术推广总站，负责技术规范的相关法律法规政策的指导；</w:t>
      </w:r>
    </w:p>
    <w:p>
      <w:pPr>
        <w:pStyle w:val="40"/>
        <w:spacing w:line="360" w:lineRule="auto"/>
        <w:ind w:firstLine="480" w:firstLineChars="200"/>
        <w:rPr>
          <w:rFonts w:ascii="宋体" w:hAnsi="宋体"/>
          <w:bCs/>
          <w:sz w:val="24"/>
          <w:szCs w:val="24"/>
        </w:rPr>
      </w:pPr>
      <w:r>
        <w:rPr>
          <w:rFonts w:hint="eastAsia" w:ascii="宋体" w:hAnsi="宋体"/>
          <w:bCs/>
          <w:sz w:val="24"/>
          <w:szCs w:val="24"/>
        </w:rPr>
        <w:t>张婉婷，全国水产技术推广总站，负责调查研究；</w:t>
      </w:r>
    </w:p>
    <w:p>
      <w:pPr>
        <w:pStyle w:val="40"/>
        <w:spacing w:line="360" w:lineRule="auto"/>
        <w:ind w:firstLine="480" w:firstLineChars="200"/>
        <w:rPr>
          <w:rFonts w:ascii="宋体" w:hAnsi="宋体"/>
          <w:bCs/>
          <w:sz w:val="24"/>
          <w:szCs w:val="24"/>
        </w:rPr>
      </w:pPr>
      <w:r>
        <w:rPr>
          <w:rFonts w:hint="eastAsia" w:ascii="宋体" w:hAnsi="宋体"/>
          <w:bCs/>
          <w:sz w:val="24"/>
          <w:szCs w:val="24"/>
        </w:rPr>
        <w:t>刘沫洋，湖北省水产技术推广总站，参与调查研究；</w:t>
      </w:r>
    </w:p>
    <w:p>
      <w:pPr>
        <w:pStyle w:val="40"/>
        <w:spacing w:line="360" w:lineRule="auto"/>
        <w:ind w:firstLine="480" w:firstLineChars="200"/>
        <w:rPr>
          <w:rFonts w:ascii="宋体" w:hAnsi="宋体"/>
          <w:bCs/>
          <w:sz w:val="24"/>
          <w:szCs w:val="24"/>
        </w:rPr>
      </w:pPr>
      <w:r>
        <w:rPr>
          <w:rFonts w:hint="eastAsia" w:ascii="宋体" w:hAnsi="宋体"/>
          <w:bCs/>
          <w:sz w:val="24"/>
          <w:szCs w:val="24"/>
        </w:rPr>
        <w:t>陈思琪，湖北省水产技术推广总站，负责技术规范中主要设施内容编写；</w:t>
      </w:r>
    </w:p>
    <w:p>
      <w:pPr>
        <w:pStyle w:val="40"/>
        <w:spacing w:line="360" w:lineRule="auto"/>
        <w:ind w:firstLine="480" w:firstLineChars="200"/>
        <w:rPr>
          <w:rFonts w:ascii="宋体" w:hAnsi="宋体"/>
          <w:bCs/>
          <w:sz w:val="24"/>
          <w:szCs w:val="24"/>
        </w:rPr>
      </w:pPr>
      <w:r>
        <w:rPr>
          <w:rFonts w:hint="eastAsia" w:ascii="宋体" w:hAnsi="宋体"/>
          <w:bCs/>
          <w:sz w:val="24"/>
          <w:szCs w:val="24"/>
        </w:rPr>
        <w:t>窦亚琪，湖北省水产技术推广总站，负责技术规范中尾水处理管理内容编写；</w:t>
      </w:r>
    </w:p>
    <w:p>
      <w:pPr>
        <w:pStyle w:val="40"/>
        <w:spacing w:line="360" w:lineRule="auto"/>
        <w:ind w:firstLine="480" w:firstLineChars="200"/>
        <w:rPr>
          <w:rFonts w:ascii="宋体" w:hAnsi="宋体"/>
          <w:bCs/>
          <w:sz w:val="24"/>
          <w:szCs w:val="24"/>
        </w:rPr>
      </w:pPr>
      <w:r>
        <w:rPr>
          <w:rFonts w:hint="eastAsia" w:ascii="宋体" w:hAnsi="宋体"/>
          <w:bCs/>
          <w:sz w:val="24"/>
          <w:szCs w:val="24"/>
        </w:rPr>
        <w:t>刘骏恂，湖北省水产技术推广总站，负责技术规范中尾水水质监测内容编写；</w:t>
      </w:r>
    </w:p>
    <w:p>
      <w:pPr>
        <w:pStyle w:val="40"/>
        <w:spacing w:line="360" w:lineRule="auto"/>
        <w:ind w:firstLine="480" w:firstLineChars="200"/>
        <w:rPr>
          <w:rFonts w:ascii="宋体" w:hAnsi="宋体"/>
          <w:bCs/>
          <w:sz w:val="24"/>
          <w:szCs w:val="24"/>
        </w:rPr>
      </w:pPr>
      <w:r>
        <w:rPr>
          <w:rFonts w:hint="eastAsia" w:ascii="宋体" w:hAnsi="宋体"/>
          <w:bCs/>
          <w:sz w:val="24"/>
          <w:szCs w:val="24"/>
        </w:rPr>
        <w:t>田子楷，湖北省水产技术推广总站，参与技术验证；</w:t>
      </w:r>
    </w:p>
    <w:p>
      <w:pPr>
        <w:pStyle w:val="40"/>
        <w:spacing w:line="360" w:lineRule="auto"/>
        <w:ind w:firstLine="480" w:firstLineChars="200"/>
        <w:rPr>
          <w:rFonts w:ascii="宋体" w:hAnsi="宋体"/>
          <w:bCs/>
          <w:sz w:val="24"/>
          <w:szCs w:val="24"/>
        </w:rPr>
      </w:pPr>
      <w:r>
        <w:rPr>
          <w:rFonts w:hint="eastAsia" w:ascii="宋体" w:hAnsi="宋体"/>
          <w:bCs/>
          <w:sz w:val="24"/>
          <w:szCs w:val="24"/>
        </w:rPr>
        <w:t>蒋佳辉，湖北省水产技术推广总站，参与技术验证。</w:t>
      </w:r>
    </w:p>
    <w:p>
      <w:pPr>
        <w:pStyle w:val="40"/>
        <w:spacing w:before="156" w:beforeLines="50" w:after="156" w:afterLines="50" w:line="360" w:lineRule="auto"/>
        <w:outlineLvl w:val="2"/>
        <w:rPr>
          <w:rFonts w:ascii="宋体" w:hAnsi="宋体" w:cs="黑体"/>
          <w:b/>
          <w:kern w:val="2"/>
          <w:sz w:val="24"/>
          <w:szCs w:val="24"/>
        </w:rPr>
      </w:pPr>
      <w:r>
        <w:rPr>
          <w:rFonts w:hint="eastAsia" w:ascii="宋体" w:hAnsi="宋体" w:cs="黑体"/>
          <w:b/>
          <w:kern w:val="2"/>
          <w:sz w:val="24"/>
          <w:szCs w:val="24"/>
        </w:rPr>
        <w:t>5</w:t>
      </w:r>
      <w:r>
        <w:rPr>
          <w:rFonts w:ascii="宋体" w:hAnsi="宋体" w:cs="黑体"/>
          <w:b/>
          <w:kern w:val="2"/>
          <w:sz w:val="24"/>
          <w:szCs w:val="24"/>
        </w:rPr>
        <w:t>.基础资料分析和补充调研</w:t>
      </w:r>
    </w:p>
    <w:p>
      <w:pPr>
        <w:spacing w:line="360" w:lineRule="auto"/>
        <w:ind w:firstLine="480" w:firstLineChars="200"/>
        <w:rPr>
          <w:rFonts w:cs="Times New Roman"/>
          <w:sz w:val="24"/>
          <w:szCs w:val="24"/>
        </w:rPr>
      </w:pPr>
      <w:r>
        <w:rPr>
          <w:rFonts w:cs="Times New Roman"/>
          <w:sz w:val="24"/>
          <w:szCs w:val="24"/>
        </w:rPr>
        <w:t>起草小组对收集的</w:t>
      </w:r>
      <w:r>
        <w:rPr>
          <w:rFonts w:hint="eastAsia" w:ascii="宋体" w:hAnsi="宋体"/>
          <w:sz w:val="24"/>
          <w:szCs w:val="24"/>
        </w:rPr>
        <w:t>养殖尾水处理</w:t>
      </w:r>
      <w:r>
        <w:rPr>
          <w:rFonts w:cs="Times New Roman"/>
          <w:sz w:val="24"/>
          <w:szCs w:val="24"/>
        </w:rPr>
        <w:t>技术规范的相关材料进行了系统的分析，对已经建成的</w:t>
      </w:r>
      <w:r>
        <w:rPr>
          <w:rFonts w:hint="eastAsia" w:cs="Times New Roman"/>
          <w:sz w:val="24"/>
          <w:szCs w:val="24"/>
        </w:rPr>
        <w:t>陆基圆池循环水养殖尾水处理情况</w:t>
      </w:r>
      <w:r>
        <w:rPr>
          <w:rFonts w:cs="Times New Roman"/>
          <w:sz w:val="24"/>
          <w:szCs w:val="24"/>
        </w:rPr>
        <w:t>进行了调研，根据有关国家级、省级</w:t>
      </w:r>
      <w:r>
        <w:rPr>
          <w:rFonts w:hint="eastAsia" w:cs="Times New Roman"/>
          <w:sz w:val="24"/>
          <w:szCs w:val="24"/>
        </w:rPr>
        <w:t>水产养殖尾水处理</w:t>
      </w:r>
      <w:r>
        <w:rPr>
          <w:rFonts w:cs="Times New Roman"/>
          <w:sz w:val="24"/>
          <w:szCs w:val="24"/>
        </w:rPr>
        <w:t>技术标准的要求，确定</w:t>
      </w:r>
      <w:r>
        <w:rPr>
          <w:rFonts w:hint="eastAsia" w:ascii="宋体" w:hAnsi="宋体"/>
          <w:sz w:val="24"/>
          <w:szCs w:val="24"/>
        </w:rPr>
        <w:t>陆基圆池循环水养殖处理</w:t>
      </w:r>
      <w:r>
        <w:rPr>
          <w:rFonts w:cs="Times New Roman"/>
          <w:sz w:val="24"/>
          <w:szCs w:val="24"/>
        </w:rPr>
        <w:t>技术规范的主要技术参数。</w:t>
      </w:r>
    </w:p>
    <w:p>
      <w:pPr>
        <w:spacing w:line="360" w:lineRule="auto"/>
        <w:ind w:firstLine="480" w:firstLineChars="200"/>
        <w:rPr>
          <w:rFonts w:cs="Times New Roman"/>
          <w:sz w:val="24"/>
          <w:szCs w:val="24"/>
        </w:rPr>
      </w:pPr>
      <w:r>
        <w:rPr>
          <w:rFonts w:hint="eastAsia" w:cs="Times New Roman"/>
          <w:sz w:val="24"/>
          <w:szCs w:val="24"/>
        </w:rPr>
        <w:t>5.1</w:t>
      </w:r>
      <w:r>
        <w:rPr>
          <w:rFonts w:cs="Times New Roman"/>
          <w:sz w:val="24"/>
          <w:szCs w:val="24"/>
        </w:rPr>
        <w:t xml:space="preserve"> </w:t>
      </w:r>
      <w:r>
        <w:rPr>
          <w:rFonts w:hint="eastAsia" w:cs="Times New Roman"/>
          <w:sz w:val="24"/>
          <w:szCs w:val="24"/>
        </w:rPr>
        <w:t>微滤机</w:t>
      </w:r>
    </w:p>
    <w:p>
      <w:pPr>
        <w:spacing w:line="360" w:lineRule="auto"/>
        <w:ind w:firstLine="480" w:firstLineChars="200"/>
        <w:rPr>
          <w:rFonts w:cs="Times New Roman"/>
          <w:sz w:val="24"/>
          <w:szCs w:val="24"/>
        </w:rPr>
      </w:pPr>
      <w:r>
        <w:rPr>
          <w:rFonts w:hint="eastAsia" w:cs="Times New Roman"/>
          <w:sz w:val="24"/>
          <w:szCs w:val="24"/>
        </w:rPr>
        <w:t>微滤机是采用80~200目/平方英寸的微孔筛网固定在转鼓型过滤设备上，通过截留养殖水体中固体颗粒，实现固液分离的净化装置。并且在过滤的同时，可以通过转鼓的转动和反冲水的作用力，使微孔筛网得到及时的清洁。使设备始终保持良好的工作状态。设置冲洗水压力0.5~1.5kg/cm</w:t>
      </w:r>
      <w:r>
        <w:rPr>
          <w:rFonts w:hint="eastAsia" w:cs="Times New Roman"/>
          <w:sz w:val="24"/>
          <w:szCs w:val="24"/>
          <w:vertAlign w:val="superscript"/>
        </w:rPr>
        <w:t>2</w:t>
      </w:r>
      <w:r>
        <w:rPr>
          <w:rFonts w:hint="eastAsia" w:cs="Times New Roman"/>
          <w:sz w:val="24"/>
          <w:szCs w:val="24"/>
        </w:rPr>
        <w:t>是在考察了目前主要养殖品种后而定。</w:t>
      </w:r>
    </w:p>
    <w:p>
      <w:pPr>
        <w:spacing w:line="360" w:lineRule="auto"/>
        <w:ind w:firstLine="480" w:firstLineChars="200"/>
        <w:rPr>
          <w:rFonts w:cs="Times New Roman"/>
          <w:sz w:val="24"/>
          <w:szCs w:val="24"/>
        </w:rPr>
      </w:pPr>
      <w:r>
        <w:rPr>
          <w:rFonts w:hint="eastAsia" w:cs="Times New Roman"/>
          <w:sz w:val="24"/>
          <w:szCs w:val="24"/>
        </w:rPr>
        <w:t>5.2</w:t>
      </w:r>
      <w:r>
        <w:rPr>
          <w:rFonts w:cs="Times New Roman"/>
          <w:sz w:val="24"/>
          <w:szCs w:val="24"/>
        </w:rPr>
        <w:t xml:space="preserve"> </w:t>
      </w:r>
      <w:r>
        <w:rPr>
          <w:rFonts w:hint="eastAsia" w:cs="Times New Roman"/>
          <w:sz w:val="24"/>
          <w:szCs w:val="24"/>
        </w:rPr>
        <w:t>生态沟渠</w:t>
      </w:r>
    </w:p>
    <w:p>
      <w:pPr>
        <w:spacing w:line="360" w:lineRule="auto"/>
        <w:ind w:firstLine="480" w:firstLineChars="200"/>
        <w:rPr>
          <w:rFonts w:cs="Times New Roman"/>
          <w:sz w:val="24"/>
          <w:szCs w:val="24"/>
        </w:rPr>
      </w:pPr>
      <w:r>
        <w:rPr>
          <w:rFonts w:hint="eastAsia" w:cs="Times New Roman"/>
          <w:sz w:val="24"/>
          <w:szCs w:val="24"/>
        </w:rPr>
        <w:t>生态沟渠通常含有初沉池（水入口）、泥质或硬质生态沟框架和植物组成。初沉池位于养殖尾水出口与生态沟渠连接处，用于收集尾水颗粒物。生态沟渠框架采用泥质还是硬质取决于当地土地价值、经济水平等因素。土地紧张、经济发达的地区建议采取水泥硬质框架，而土地不紧张、经济实力弱的地区可以采取泥质框架。生态沟渠框架（沟底、沟板）用含孔穴的水泥硬质板建成，空穴用于植物（作物或草）种植。沟底、沟板种植的植物既能拦截尾水颗粒物，也能吸收水中的氮磷养分，达到控制污染物向水体迁移和氮磷养分再利用目的。空穴密度，沟底及沟板植物种植密度、植物种类和植物生长，沟长度、宽带、深度和坡度，水流速度及水泥性质等影响生态沟渠对农田污染拦截效率。生态沟渠坡岸种植固坡植物。宜在沟渠内设置生物浮床，种植具有净水效果的水生植物。以养殖规模13.33 hm</w:t>
      </w:r>
      <w:r>
        <w:rPr>
          <w:rFonts w:hint="eastAsia" w:cs="Times New Roman"/>
          <w:sz w:val="24"/>
          <w:szCs w:val="24"/>
          <w:vertAlign w:val="superscript"/>
        </w:rPr>
        <w:t>2</w:t>
      </w:r>
      <w:r>
        <w:rPr>
          <w:rFonts w:hint="eastAsia" w:cs="Times New Roman"/>
          <w:sz w:val="24"/>
          <w:szCs w:val="24"/>
        </w:rPr>
        <w:t>为参考，生态沟渠剖面顶宽≥3 m，底宽≥1 m，深≥1.5 m。沟渠坡岸原则上不硬化，种植绿化植物。</w:t>
      </w:r>
    </w:p>
    <w:p>
      <w:pPr>
        <w:spacing w:line="360" w:lineRule="auto"/>
        <w:ind w:firstLine="480" w:firstLineChars="200"/>
        <w:rPr>
          <w:rFonts w:cs="Times New Roman"/>
          <w:sz w:val="24"/>
          <w:szCs w:val="24"/>
        </w:rPr>
      </w:pPr>
      <w:r>
        <w:rPr>
          <w:rFonts w:hint="eastAsia" w:cs="Times New Roman"/>
          <w:sz w:val="24"/>
          <w:szCs w:val="24"/>
        </w:rPr>
        <w:t>5.3</w:t>
      </w:r>
      <w:r>
        <w:rPr>
          <w:rFonts w:cs="Times New Roman"/>
          <w:sz w:val="24"/>
          <w:szCs w:val="24"/>
        </w:rPr>
        <w:t xml:space="preserve"> </w:t>
      </w:r>
      <w:r>
        <w:rPr>
          <w:rFonts w:hint="eastAsia" w:cs="Times New Roman"/>
          <w:sz w:val="24"/>
          <w:szCs w:val="24"/>
        </w:rPr>
        <w:t>沉淀池</w:t>
      </w:r>
    </w:p>
    <w:p>
      <w:pPr>
        <w:spacing w:line="360" w:lineRule="auto"/>
        <w:ind w:firstLine="480" w:firstLineChars="200"/>
        <w:rPr>
          <w:rFonts w:hint="eastAsia" w:cs="Times New Roman"/>
          <w:sz w:val="24"/>
          <w:szCs w:val="24"/>
        </w:rPr>
      </w:pPr>
      <w:r>
        <w:rPr>
          <w:rFonts w:hint="eastAsia" w:cs="Times New Roman"/>
          <w:sz w:val="24"/>
          <w:szCs w:val="24"/>
        </w:rPr>
        <w:t>进行沉淀池设计的基本依据是尾水流量、水中悬浮固体浓度和性质以及处理后的水质要求。 因此，必需确定有关设计参数，其中包括沉降效率 、沉降速度 (或表面负荷)、沉降时间、水在池内的平均流速以及泥渣容重和含水率等。低污染养殖水体，沉淀池面积占尾水处理单元面积的30%，高污染养殖水体，沉淀池占尾水处理单元面积的35%，池深1.0 m~2.0 m。</w:t>
      </w:r>
    </w:p>
    <w:p>
      <w:pPr>
        <w:spacing w:line="360" w:lineRule="auto"/>
        <w:ind w:firstLine="480" w:firstLineChars="200"/>
        <w:rPr>
          <w:rFonts w:cs="Times New Roman"/>
          <w:sz w:val="24"/>
          <w:szCs w:val="24"/>
        </w:rPr>
      </w:pPr>
      <w:r>
        <w:rPr>
          <w:rFonts w:cs="Times New Roman"/>
          <w:sz w:val="24"/>
          <w:szCs w:val="24"/>
        </w:rPr>
        <w:t>为使本标准更加科学与准确，编写组收集、整理了大量理论和技术资料，主要参考文献如下：</w:t>
      </w:r>
    </w:p>
    <w:p>
      <w:pPr>
        <w:spacing w:line="360" w:lineRule="auto"/>
        <w:ind w:firstLine="480" w:firstLineChars="200"/>
        <w:rPr>
          <w:rFonts w:cs="Times New Roman"/>
          <w:sz w:val="24"/>
          <w:szCs w:val="24"/>
        </w:rPr>
      </w:pPr>
      <w:r>
        <w:rPr>
          <w:rFonts w:hint="eastAsia" w:cs="Times New Roman"/>
          <w:sz w:val="24"/>
          <w:szCs w:val="24"/>
        </w:rPr>
        <w:t>（1）广西壮族自治区市场监督管理局.</w:t>
      </w:r>
      <w:r>
        <w:rPr>
          <w:rFonts w:cs="Times New Roman"/>
          <w:sz w:val="24"/>
          <w:szCs w:val="24"/>
        </w:rPr>
        <w:t xml:space="preserve"> </w:t>
      </w:r>
      <w:r>
        <w:rPr>
          <w:rFonts w:hint="eastAsia" w:cs="Times New Roman"/>
          <w:sz w:val="24"/>
          <w:szCs w:val="24"/>
        </w:rPr>
        <w:t>渔业生态养殖规范 第3部分：工厂化养殖:</w:t>
      </w:r>
      <w:r>
        <w:rPr>
          <w:sz w:val="24"/>
          <w:szCs w:val="24"/>
        </w:rPr>
        <w:t xml:space="preserve"> </w:t>
      </w:r>
      <w:r>
        <w:rPr>
          <w:rFonts w:cs="Times New Roman"/>
          <w:sz w:val="24"/>
          <w:szCs w:val="24"/>
        </w:rPr>
        <w:t xml:space="preserve">DB45/T 1802.3-2018. </w:t>
      </w:r>
      <w:r>
        <w:rPr>
          <w:rFonts w:hint="eastAsia" w:cs="Times New Roman"/>
          <w:sz w:val="24"/>
          <w:szCs w:val="24"/>
        </w:rPr>
        <w:t>北京:</w:t>
      </w:r>
      <w:r>
        <w:rPr>
          <w:rFonts w:cs="Times New Roman"/>
          <w:sz w:val="24"/>
          <w:szCs w:val="24"/>
        </w:rPr>
        <w:t xml:space="preserve"> </w:t>
      </w:r>
      <w:r>
        <w:rPr>
          <w:rFonts w:hint="eastAsia" w:cs="Times New Roman"/>
          <w:sz w:val="24"/>
          <w:szCs w:val="24"/>
        </w:rPr>
        <w:t>中国标准出版社.</w:t>
      </w:r>
    </w:p>
    <w:p>
      <w:pPr>
        <w:spacing w:line="360" w:lineRule="auto"/>
        <w:ind w:firstLine="480" w:firstLineChars="200"/>
        <w:rPr>
          <w:rFonts w:cs="Times New Roman"/>
          <w:sz w:val="24"/>
          <w:szCs w:val="24"/>
        </w:rPr>
      </w:pPr>
      <w:r>
        <w:rPr>
          <w:rFonts w:hint="eastAsia" w:cs="Times New Roman"/>
          <w:sz w:val="24"/>
          <w:szCs w:val="24"/>
        </w:rPr>
        <w:t xml:space="preserve">（2）黑龙江省市场监督管理局. 池塘养殖尾水生态处理技术规范: </w:t>
      </w:r>
      <w:r>
        <w:rPr>
          <w:rFonts w:cs="Times New Roman"/>
          <w:sz w:val="24"/>
          <w:szCs w:val="24"/>
        </w:rPr>
        <w:t>DB23/T 3427—2023</w:t>
      </w:r>
      <w:r>
        <w:rPr>
          <w:rFonts w:hint="eastAsia" w:cs="Times New Roman"/>
          <w:sz w:val="24"/>
          <w:szCs w:val="24"/>
        </w:rPr>
        <w:t>. 北京: 中国标准出版社.</w:t>
      </w:r>
    </w:p>
    <w:p>
      <w:pPr>
        <w:spacing w:line="360" w:lineRule="auto"/>
        <w:ind w:firstLine="480" w:firstLineChars="200"/>
        <w:rPr>
          <w:rFonts w:cs="Times New Roman"/>
          <w:sz w:val="24"/>
          <w:szCs w:val="24"/>
        </w:rPr>
      </w:pPr>
      <w:r>
        <w:rPr>
          <w:rFonts w:hint="eastAsia" w:cs="Times New Roman"/>
          <w:sz w:val="24"/>
          <w:szCs w:val="24"/>
        </w:rPr>
        <w:t>（3）吉林省市场监督管理厅.</w:t>
      </w:r>
      <w:r>
        <w:rPr>
          <w:rFonts w:cs="Times New Roman"/>
          <w:sz w:val="24"/>
          <w:szCs w:val="24"/>
        </w:rPr>
        <w:t xml:space="preserve"> </w:t>
      </w:r>
      <w:r>
        <w:rPr>
          <w:rFonts w:hint="eastAsia" w:cs="Times New Roman"/>
          <w:sz w:val="24"/>
          <w:szCs w:val="24"/>
        </w:rPr>
        <w:t>池塘养殖尾水生态处理技术规程:</w:t>
      </w:r>
      <w:r>
        <w:rPr>
          <w:rFonts w:cs="Times New Roman"/>
          <w:sz w:val="24"/>
          <w:szCs w:val="24"/>
        </w:rPr>
        <w:t xml:space="preserve"> DB22/T 3528-2023. </w:t>
      </w:r>
      <w:r>
        <w:rPr>
          <w:rFonts w:hint="eastAsia" w:cs="Times New Roman"/>
          <w:sz w:val="24"/>
          <w:szCs w:val="24"/>
        </w:rPr>
        <w:t>北京:</w:t>
      </w:r>
      <w:r>
        <w:rPr>
          <w:rFonts w:cs="Times New Roman"/>
          <w:sz w:val="24"/>
          <w:szCs w:val="24"/>
        </w:rPr>
        <w:t xml:space="preserve"> </w:t>
      </w:r>
      <w:r>
        <w:rPr>
          <w:rFonts w:hint="eastAsia" w:cs="Times New Roman"/>
          <w:sz w:val="24"/>
          <w:szCs w:val="24"/>
        </w:rPr>
        <w:t>中国标准出版社.</w:t>
      </w:r>
    </w:p>
    <w:p>
      <w:pPr>
        <w:spacing w:line="360" w:lineRule="auto"/>
        <w:ind w:firstLine="480" w:firstLineChars="200"/>
        <w:rPr>
          <w:rFonts w:cs="Times New Roman"/>
          <w:sz w:val="24"/>
          <w:szCs w:val="24"/>
        </w:rPr>
      </w:pPr>
      <w:r>
        <w:rPr>
          <w:rFonts w:hint="eastAsia" w:cs="Times New Roman"/>
          <w:sz w:val="24"/>
          <w:szCs w:val="24"/>
        </w:rPr>
        <w:t>（4）柯瑞林,任黎华,孟顺龙.水产养殖尾水处理技术研究进展[J].中国农学通报,2023.</w:t>
      </w:r>
    </w:p>
    <w:p>
      <w:pPr>
        <w:spacing w:line="360" w:lineRule="auto"/>
        <w:ind w:firstLine="480" w:firstLineChars="200"/>
        <w:rPr>
          <w:rFonts w:cs="Times New Roman"/>
          <w:sz w:val="24"/>
          <w:szCs w:val="24"/>
        </w:rPr>
      </w:pPr>
      <w:r>
        <w:rPr>
          <w:rFonts w:hint="eastAsia" w:cs="Times New Roman"/>
          <w:sz w:val="24"/>
          <w:szCs w:val="24"/>
        </w:rPr>
        <w:t>（5）王琪,徐光志,孙刚等.湖北省水产养殖水质现状及尾水排放管控标准研究[J].环境科技,2023.</w:t>
      </w:r>
    </w:p>
    <w:p>
      <w:pPr>
        <w:spacing w:line="360" w:lineRule="auto"/>
        <w:ind w:firstLine="480" w:firstLineChars="200"/>
        <w:rPr>
          <w:rFonts w:cs="Times New Roman"/>
          <w:sz w:val="24"/>
          <w:szCs w:val="24"/>
        </w:rPr>
      </w:pPr>
      <w:r>
        <w:rPr>
          <w:rFonts w:hint="eastAsia" w:cs="Times New Roman"/>
          <w:sz w:val="24"/>
          <w:szCs w:val="24"/>
        </w:rPr>
        <w:t>（</w:t>
      </w:r>
      <w:r>
        <w:rPr>
          <w:rFonts w:cs="Times New Roman"/>
          <w:sz w:val="24"/>
          <w:szCs w:val="24"/>
        </w:rPr>
        <w:t>6</w:t>
      </w:r>
      <w:r>
        <w:rPr>
          <w:rFonts w:hint="eastAsia" w:cs="Times New Roman"/>
          <w:sz w:val="24"/>
          <w:szCs w:val="24"/>
        </w:rPr>
        <w:t>）浙江省市场监督管理局.</w:t>
      </w:r>
      <w:r>
        <w:rPr>
          <w:rFonts w:cs="Times New Roman"/>
          <w:sz w:val="24"/>
          <w:szCs w:val="24"/>
        </w:rPr>
        <w:t xml:space="preserve"> </w:t>
      </w:r>
      <w:r>
        <w:rPr>
          <w:rFonts w:hint="eastAsia" w:cs="Times New Roman"/>
          <w:sz w:val="24"/>
          <w:szCs w:val="24"/>
        </w:rPr>
        <w:t>淡水池塘养殖尾水处理技术规范:</w:t>
      </w:r>
      <w:r>
        <w:rPr>
          <w:sz w:val="24"/>
          <w:szCs w:val="24"/>
        </w:rPr>
        <w:t xml:space="preserve"> </w:t>
      </w:r>
      <w:r>
        <w:rPr>
          <w:rFonts w:cs="Times New Roman"/>
          <w:sz w:val="24"/>
          <w:szCs w:val="24"/>
        </w:rPr>
        <w:t xml:space="preserve">DB33/T 2288-2020. </w:t>
      </w:r>
      <w:r>
        <w:rPr>
          <w:rFonts w:hint="eastAsia" w:cs="Times New Roman"/>
          <w:sz w:val="24"/>
          <w:szCs w:val="24"/>
        </w:rPr>
        <w:t>北京:</w:t>
      </w:r>
      <w:r>
        <w:rPr>
          <w:rFonts w:cs="Times New Roman"/>
          <w:sz w:val="24"/>
          <w:szCs w:val="24"/>
        </w:rPr>
        <w:t xml:space="preserve"> </w:t>
      </w:r>
      <w:r>
        <w:rPr>
          <w:rFonts w:hint="eastAsia" w:cs="Times New Roman"/>
          <w:sz w:val="24"/>
          <w:szCs w:val="24"/>
        </w:rPr>
        <w:t>中国标准出版社.</w:t>
      </w:r>
    </w:p>
    <w:p>
      <w:pPr>
        <w:pStyle w:val="2"/>
        <w:spacing w:before="156" w:beforeLines="50" w:after="156" w:afterLines="50" w:line="360" w:lineRule="auto"/>
        <w:rPr>
          <w:rFonts w:ascii="宋体" w:hAnsi="宋体"/>
          <w:sz w:val="24"/>
          <w:szCs w:val="24"/>
        </w:rPr>
      </w:pPr>
      <w:bookmarkStart w:id="7" w:name="_Toc12612484"/>
      <w:r>
        <w:rPr>
          <w:rFonts w:hint="eastAsia" w:ascii="宋体" w:hAnsi="宋体"/>
          <w:sz w:val="24"/>
          <w:szCs w:val="24"/>
        </w:rPr>
        <w:t>二、编制本标准的原则和</w:t>
      </w:r>
      <w:r>
        <w:rPr>
          <w:rFonts w:ascii="宋体" w:hAnsi="宋体"/>
          <w:sz w:val="24"/>
          <w:szCs w:val="24"/>
        </w:rPr>
        <w:t>标准主要内容</w:t>
      </w:r>
      <w:bookmarkEnd w:id="7"/>
    </w:p>
    <w:p>
      <w:pPr>
        <w:pStyle w:val="40"/>
        <w:spacing w:before="156" w:beforeLines="50" w:after="156" w:afterLines="50" w:line="360" w:lineRule="auto"/>
        <w:outlineLvl w:val="2"/>
        <w:rPr>
          <w:rFonts w:ascii="宋体" w:hAnsi="宋体" w:cs="黑体"/>
          <w:b/>
          <w:kern w:val="2"/>
          <w:sz w:val="24"/>
          <w:szCs w:val="24"/>
        </w:rPr>
      </w:pPr>
      <w:bookmarkStart w:id="8" w:name="_Toc532896669"/>
      <w:bookmarkStart w:id="9" w:name="_Toc494469515"/>
      <w:r>
        <w:rPr>
          <w:rFonts w:hint="eastAsia" w:ascii="宋体" w:hAnsi="宋体" w:cs="黑体"/>
          <w:b/>
          <w:kern w:val="2"/>
          <w:sz w:val="24"/>
          <w:szCs w:val="24"/>
        </w:rPr>
        <w:t>1</w:t>
      </w:r>
      <w:r>
        <w:rPr>
          <w:rFonts w:ascii="宋体" w:hAnsi="宋体" w:cs="黑体"/>
          <w:b/>
          <w:kern w:val="2"/>
          <w:sz w:val="24"/>
          <w:szCs w:val="24"/>
        </w:rPr>
        <w:t>.</w:t>
      </w:r>
      <w:r>
        <w:rPr>
          <w:rFonts w:hint="eastAsia" w:ascii="宋体" w:hAnsi="宋体" w:cs="黑体"/>
          <w:b/>
          <w:kern w:val="2"/>
          <w:sz w:val="24"/>
          <w:szCs w:val="24"/>
        </w:rPr>
        <w:t>标准编制原则</w:t>
      </w:r>
      <w:bookmarkEnd w:id="8"/>
    </w:p>
    <w:p>
      <w:pPr>
        <w:spacing w:line="360" w:lineRule="auto"/>
        <w:ind w:left="480"/>
        <w:rPr>
          <w:rFonts w:cs="Times New Roman"/>
          <w:sz w:val="24"/>
          <w:szCs w:val="24"/>
        </w:rPr>
      </w:pPr>
      <w:r>
        <w:rPr>
          <w:rFonts w:hint="eastAsia" w:cs="Times New Roman"/>
          <w:sz w:val="24"/>
          <w:szCs w:val="24"/>
        </w:rPr>
        <w:t>（1）</w:t>
      </w:r>
      <w:r>
        <w:rPr>
          <w:rFonts w:cs="Times New Roman"/>
          <w:sz w:val="24"/>
          <w:szCs w:val="24"/>
        </w:rPr>
        <w:t>遵循国家有关方针、政策、法律和法规等</w:t>
      </w:r>
      <w:r>
        <w:rPr>
          <w:rFonts w:hint="eastAsia" w:cs="Times New Roman"/>
          <w:sz w:val="24"/>
          <w:szCs w:val="24"/>
        </w:rPr>
        <w:t>；</w:t>
      </w:r>
    </w:p>
    <w:p>
      <w:pPr>
        <w:spacing w:line="360" w:lineRule="auto"/>
        <w:ind w:firstLine="480" w:firstLineChars="200"/>
        <w:rPr>
          <w:rFonts w:cs="Times New Roman"/>
          <w:sz w:val="24"/>
          <w:szCs w:val="24"/>
        </w:rPr>
      </w:pPr>
      <w:r>
        <w:rPr>
          <w:rFonts w:hint="eastAsia" w:cs="Times New Roman"/>
          <w:sz w:val="24"/>
          <w:szCs w:val="24"/>
        </w:rPr>
        <w:t>（2）格式按照GB/T 1.1-20</w:t>
      </w:r>
      <w:r>
        <w:rPr>
          <w:rFonts w:cs="Times New Roman"/>
          <w:sz w:val="24"/>
          <w:szCs w:val="24"/>
        </w:rPr>
        <w:t>20</w:t>
      </w:r>
      <w:r>
        <w:rPr>
          <w:rFonts w:hint="eastAsia" w:cs="Times New Roman"/>
          <w:sz w:val="24"/>
          <w:szCs w:val="24"/>
        </w:rPr>
        <w:t>给出的规则起草；</w:t>
      </w:r>
    </w:p>
    <w:p>
      <w:pPr>
        <w:spacing w:line="360" w:lineRule="auto"/>
        <w:ind w:firstLine="480" w:firstLineChars="200"/>
        <w:rPr>
          <w:rFonts w:cs="Times New Roman"/>
          <w:sz w:val="24"/>
          <w:szCs w:val="24"/>
        </w:rPr>
      </w:pPr>
      <w:r>
        <w:rPr>
          <w:rFonts w:hint="eastAsia" w:cs="Times New Roman"/>
          <w:sz w:val="24"/>
          <w:szCs w:val="24"/>
        </w:rPr>
        <w:t>（3）</w:t>
      </w:r>
      <w:r>
        <w:rPr>
          <w:rFonts w:cs="Times New Roman"/>
          <w:sz w:val="24"/>
          <w:szCs w:val="24"/>
        </w:rPr>
        <w:t>进行广泛调查研究，根据</w:t>
      </w:r>
      <w:r>
        <w:rPr>
          <w:rFonts w:hint="eastAsia" w:cs="Times New Roman"/>
          <w:sz w:val="24"/>
          <w:szCs w:val="24"/>
        </w:rPr>
        <w:t>陆基圆池循环水养殖尾水处理设施</w:t>
      </w:r>
      <w:r>
        <w:rPr>
          <w:rFonts w:cs="Times New Roman"/>
          <w:sz w:val="24"/>
          <w:szCs w:val="24"/>
        </w:rPr>
        <w:t>建设的实际情况，统筹兼顾</w:t>
      </w:r>
      <w:r>
        <w:rPr>
          <w:rFonts w:hint="eastAsia" w:cs="Times New Roman"/>
          <w:sz w:val="24"/>
          <w:szCs w:val="24"/>
        </w:rPr>
        <w:t>不同地区</w:t>
      </w:r>
      <w:r>
        <w:rPr>
          <w:rFonts w:cs="Times New Roman"/>
          <w:sz w:val="24"/>
          <w:szCs w:val="24"/>
        </w:rPr>
        <w:t>的特点，规范</w:t>
      </w:r>
      <w:r>
        <w:rPr>
          <w:rFonts w:hint="eastAsia" w:cs="Times New Roman"/>
          <w:sz w:val="24"/>
          <w:szCs w:val="24"/>
        </w:rPr>
        <w:t>陆基圆池循环水养殖尾水处理</w:t>
      </w:r>
      <w:r>
        <w:rPr>
          <w:rFonts w:cs="Times New Roman"/>
          <w:sz w:val="24"/>
          <w:szCs w:val="24"/>
        </w:rPr>
        <w:t>的标准、确立</w:t>
      </w:r>
      <w:r>
        <w:rPr>
          <w:rFonts w:hint="eastAsia" w:cs="Times New Roman"/>
          <w:sz w:val="24"/>
          <w:szCs w:val="24"/>
        </w:rPr>
        <w:t>陆基圆池循环水养殖尾水处理</w:t>
      </w:r>
      <w:r>
        <w:rPr>
          <w:rFonts w:cs="Times New Roman"/>
          <w:sz w:val="24"/>
          <w:szCs w:val="24"/>
        </w:rPr>
        <w:t>技术的主要内容和指标</w:t>
      </w:r>
      <w:r>
        <w:rPr>
          <w:rFonts w:hint="eastAsia" w:cs="Times New Roman"/>
          <w:sz w:val="24"/>
          <w:szCs w:val="24"/>
        </w:rPr>
        <w:t>；</w:t>
      </w:r>
    </w:p>
    <w:p>
      <w:pPr>
        <w:spacing w:line="360" w:lineRule="auto"/>
        <w:ind w:firstLine="480" w:firstLineChars="200"/>
        <w:rPr>
          <w:rFonts w:cs="Times New Roman"/>
          <w:sz w:val="24"/>
          <w:szCs w:val="24"/>
        </w:rPr>
      </w:pPr>
      <w:r>
        <w:rPr>
          <w:rFonts w:hint="eastAsia" w:cs="Times New Roman"/>
          <w:sz w:val="24"/>
          <w:szCs w:val="24"/>
        </w:rPr>
        <w:t>（4）</w:t>
      </w:r>
      <w:r>
        <w:rPr>
          <w:rFonts w:cs="Times New Roman"/>
          <w:sz w:val="24"/>
          <w:szCs w:val="24"/>
        </w:rPr>
        <w:t>密切结合我国国情，严格执行强制性国家标准，充分考虑与其它相关标准及法律法规的协调性。</w:t>
      </w:r>
    </w:p>
    <w:p>
      <w:pPr>
        <w:pStyle w:val="40"/>
        <w:spacing w:before="156" w:beforeLines="50" w:after="156" w:afterLines="50" w:line="360" w:lineRule="auto"/>
        <w:outlineLvl w:val="2"/>
        <w:rPr>
          <w:rFonts w:ascii="宋体" w:hAnsi="宋体" w:cs="黑体"/>
          <w:b/>
          <w:kern w:val="2"/>
          <w:sz w:val="24"/>
          <w:szCs w:val="24"/>
        </w:rPr>
      </w:pPr>
      <w:r>
        <w:rPr>
          <w:rFonts w:ascii="宋体" w:hAnsi="宋体" w:cs="黑体"/>
          <w:b/>
          <w:kern w:val="2"/>
          <w:sz w:val="24"/>
          <w:szCs w:val="24"/>
        </w:rPr>
        <w:t>2.</w:t>
      </w:r>
      <w:r>
        <w:rPr>
          <w:rFonts w:hint="eastAsia" w:ascii="宋体" w:hAnsi="宋体" w:cs="黑体"/>
          <w:b/>
          <w:kern w:val="2"/>
          <w:sz w:val="24"/>
          <w:szCs w:val="24"/>
        </w:rPr>
        <w:t>标准适用范围</w:t>
      </w:r>
      <w:bookmarkEnd w:id="9"/>
    </w:p>
    <w:p>
      <w:pPr>
        <w:pStyle w:val="40"/>
        <w:spacing w:line="360" w:lineRule="auto"/>
        <w:ind w:firstLine="480" w:firstLineChars="200"/>
        <w:rPr>
          <w:rFonts w:ascii="宋体" w:hAnsi="宋体"/>
          <w:bCs/>
          <w:sz w:val="24"/>
          <w:szCs w:val="24"/>
        </w:rPr>
      </w:pPr>
      <w:r>
        <w:rPr>
          <w:rFonts w:hint="eastAsia" w:ascii="宋体" w:hAnsi="宋体"/>
          <w:bCs/>
          <w:sz w:val="24"/>
          <w:szCs w:val="24"/>
        </w:rPr>
        <w:t>本标准适用于在我国范围内开展的陆基圆池循环水养殖尾水处理。</w:t>
      </w:r>
    </w:p>
    <w:p>
      <w:pPr>
        <w:pStyle w:val="40"/>
        <w:spacing w:before="156" w:beforeLines="50" w:after="156" w:afterLines="50" w:line="360" w:lineRule="auto"/>
        <w:outlineLvl w:val="2"/>
        <w:rPr>
          <w:rFonts w:ascii="宋体" w:hAnsi="宋体" w:cs="黑体"/>
          <w:b/>
          <w:kern w:val="2"/>
          <w:sz w:val="24"/>
          <w:szCs w:val="24"/>
        </w:rPr>
      </w:pPr>
      <w:r>
        <w:rPr>
          <w:rFonts w:ascii="宋体" w:hAnsi="宋体" w:cs="黑体"/>
          <w:b/>
          <w:kern w:val="2"/>
          <w:sz w:val="24"/>
          <w:szCs w:val="24"/>
        </w:rPr>
        <w:t>3.</w:t>
      </w:r>
      <w:r>
        <w:rPr>
          <w:rFonts w:hint="eastAsia" w:ascii="宋体" w:hAnsi="宋体" w:cs="黑体"/>
          <w:b/>
          <w:kern w:val="2"/>
          <w:sz w:val="24"/>
          <w:szCs w:val="24"/>
        </w:rPr>
        <w:t>标准结构框架</w:t>
      </w:r>
    </w:p>
    <w:p>
      <w:pPr>
        <w:pStyle w:val="40"/>
        <w:spacing w:line="360" w:lineRule="auto"/>
        <w:ind w:firstLine="480" w:firstLineChars="200"/>
        <w:outlineLvl w:val="2"/>
        <w:rPr>
          <w:bCs/>
          <w:sz w:val="24"/>
          <w:szCs w:val="24"/>
        </w:rPr>
      </w:pPr>
      <w:r>
        <w:rPr>
          <w:rFonts w:hint="eastAsia" w:ascii="宋体" w:hAnsi="宋体"/>
          <w:bCs/>
          <w:sz w:val="24"/>
          <w:szCs w:val="24"/>
        </w:rPr>
        <w:t>标准的层次结构如下：</w:t>
      </w:r>
    </w:p>
    <w:p>
      <w:pPr>
        <w:spacing w:line="360" w:lineRule="auto"/>
        <w:ind w:firstLine="480" w:firstLineChars="200"/>
        <w:textAlignment w:val="center"/>
        <w:rPr>
          <w:rFonts w:hAnsi="宋体"/>
          <w:kern w:val="0"/>
          <w:sz w:val="24"/>
          <w:szCs w:val="24"/>
        </w:rPr>
      </w:pPr>
      <w:r>
        <w:rPr>
          <w:rFonts w:hint="eastAsia" w:hAnsi="宋体"/>
          <w:kern w:val="0"/>
          <w:sz w:val="24"/>
          <w:szCs w:val="24"/>
        </w:rPr>
        <w:t>（1）</w:t>
      </w:r>
      <w:r>
        <w:rPr>
          <w:rFonts w:hAnsi="宋体"/>
          <w:kern w:val="0"/>
          <w:sz w:val="24"/>
          <w:szCs w:val="24"/>
        </w:rPr>
        <w:t>范围</w:t>
      </w:r>
    </w:p>
    <w:p>
      <w:pPr>
        <w:spacing w:line="360" w:lineRule="auto"/>
        <w:ind w:firstLine="480" w:firstLineChars="200"/>
        <w:textAlignment w:val="center"/>
        <w:rPr>
          <w:kern w:val="0"/>
          <w:sz w:val="24"/>
          <w:szCs w:val="24"/>
        </w:rPr>
      </w:pPr>
      <w:r>
        <w:rPr>
          <w:rFonts w:hint="eastAsia"/>
          <w:kern w:val="0"/>
          <w:sz w:val="24"/>
          <w:szCs w:val="24"/>
        </w:rPr>
        <w:t>（2）规范性</w:t>
      </w:r>
      <w:r>
        <w:rPr>
          <w:rFonts w:hAnsi="宋体"/>
          <w:kern w:val="0"/>
          <w:sz w:val="24"/>
          <w:szCs w:val="24"/>
        </w:rPr>
        <w:t>引用</w:t>
      </w:r>
      <w:r>
        <w:rPr>
          <w:rFonts w:hint="eastAsia" w:hAnsi="宋体"/>
          <w:kern w:val="0"/>
          <w:sz w:val="24"/>
          <w:szCs w:val="24"/>
        </w:rPr>
        <w:t>文件</w:t>
      </w:r>
      <w:r>
        <w:rPr>
          <w:kern w:val="0"/>
          <w:sz w:val="24"/>
          <w:szCs w:val="24"/>
        </w:rPr>
        <w:t xml:space="preserve"> </w:t>
      </w:r>
    </w:p>
    <w:p>
      <w:pPr>
        <w:spacing w:line="360" w:lineRule="auto"/>
        <w:ind w:firstLine="480" w:firstLineChars="200"/>
        <w:textAlignment w:val="center"/>
        <w:rPr>
          <w:rFonts w:hAnsi="宋体"/>
          <w:kern w:val="0"/>
          <w:sz w:val="24"/>
          <w:szCs w:val="24"/>
        </w:rPr>
      </w:pPr>
      <w:r>
        <w:rPr>
          <w:rFonts w:hint="eastAsia"/>
          <w:kern w:val="0"/>
          <w:sz w:val="24"/>
          <w:szCs w:val="24"/>
        </w:rPr>
        <w:t>（3）术语和</w:t>
      </w:r>
      <w:r>
        <w:rPr>
          <w:rFonts w:hAnsi="宋体"/>
          <w:kern w:val="0"/>
          <w:sz w:val="24"/>
          <w:szCs w:val="24"/>
        </w:rPr>
        <w:t>定义</w:t>
      </w:r>
    </w:p>
    <w:p>
      <w:pPr>
        <w:spacing w:line="360" w:lineRule="auto"/>
        <w:ind w:firstLine="480" w:firstLineChars="200"/>
        <w:textAlignment w:val="center"/>
        <w:rPr>
          <w:rFonts w:hAnsi="宋体"/>
          <w:kern w:val="0"/>
          <w:sz w:val="24"/>
          <w:szCs w:val="24"/>
        </w:rPr>
      </w:pPr>
      <w:r>
        <w:rPr>
          <w:rFonts w:hint="eastAsia" w:hAnsi="宋体"/>
          <w:kern w:val="0"/>
          <w:sz w:val="24"/>
          <w:szCs w:val="24"/>
        </w:rPr>
        <w:t>（4）主要设备设施</w:t>
      </w:r>
    </w:p>
    <w:p>
      <w:pPr>
        <w:spacing w:line="360" w:lineRule="auto"/>
        <w:ind w:firstLine="480" w:firstLineChars="200"/>
        <w:textAlignment w:val="center"/>
        <w:rPr>
          <w:rFonts w:hAnsi="宋体"/>
          <w:kern w:val="0"/>
          <w:sz w:val="24"/>
          <w:szCs w:val="24"/>
        </w:rPr>
      </w:pPr>
      <w:r>
        <w:rPr>
          <w:rFonts w:hint="eastAsia" w:hAnsi="宋体"/>
          <w:kern w:val="0"/>
          <w:sz w:val="24"/>
          <w:szCs w:val="24"/>
        </w:rPr>
        <w:t>（5）处理单元面积</w:t>
      </w:r>
    </w:p>
    <w:p>
      <w:pPr>
        <w:spacing w:line="360" w:lineRule="auto"/>
        <w:ind w:firstLine="480" w:firstLineChars="200"/>
        <w:textAlignment w:val="center"/>
        <w:rPr>
          <w:rFonts w:hAnsi="宋体"/>
          <w:kern w:val="0"/>
          <w:sz w:val="24"/>
          <w:szCs w:val="24"/>
        </w:rPr>
      </w:pPr>
      <w:r>
        <w:rPr>
          <w:rFonts w:hint="eastAsia" w:hAnsi="宋体"/>
          <w:kern w:val="0"/>
          <w:sz w:val="24"/>
          <w:szCs w:val="24"/>
        </w:rPr>
        <w:t>（6）尾水处理方法</w:t>
      </w:r>
    </w:p>
    <w:p>
      <w:pPr>
        <w:spacing w:line="360" w:lineRule="auto"/>
        <w:ind w:firstLine="480" w:firstLineChars="200"/>
        <w:textAlignment w:val="center"/>
        <w:rPr>
          <w:rFonts w:hAnsi="宋体"/>
          <w:kern w:val="0"/>
          <w:sz w:val="24"/>
          <w:szCs w:val="24"/>
        </w:rPr>
      </w:pPr>
      <w:r>
        <w:rPr>
          <w:rFonts w:hint="eastAsia" w:hAnsi="宋体"/>
          <w:kern w:val="0"/>
          <w:sz w:val="24"/>
          <w:szCs w:val="24"/>
        </w:rPr>
        <w:t>（</w:t>
      </w:r>
      <w:r>
        <w:rPr>
          <w:rFonts w:hAnsi="宋体"/>
          <w:kern w:val="0"/>
          <w:sz w:val="24"/>
          <w:szCs w:val="24"/>
        </w:rPr>
        <w:t>7</w:t>
      </w:r>
      <w:r>
        <w:rPr>
          <w:rFonts w:hint="eastAsia" w:hAnsi="宋体"/>
          <w:kern w:val="0"/>
          <w:sz w:val="24"/>
          <w:szCs w:val="24"/>
        </w:rPr>
        <w:t>）尾水处理管理</w:t>
      </w:r>
    </w:p>
    <w:p>
      <w:pPr>
        <w:spacing w:line="360" w:lineRule="auto"/>
        <w:ind w:firstLine="480" w:firstLineChars="200"/>
        <w:textAlignment w:val="center"/>
        <w:rPr>
          <w:rFonts w:hAnsi="宋体"/>
          <w:kern w:val="0"/>
          <w:sz w:val="24"/>
          <w:szCs w:val="24"/>
        </w:rPr>
      </w:pPr>
      <w:r>
        <w:rPr>
          <w:rFonts w:hint="eastAsia" w:hAnsi="宋体"/>
          <w:kern w:val="0"/>
          <w:sz w:val="24"/>
          <w:szCs w:val="24"/>
        </w:rPr>
        <w:t>（</w:t>
      </w:r>
      <w:r>
        <w:rPr>
          <w:rFonts w:hAnsi="宋体"/>
          <w:kern w:val="0"/>
          <w:sz w:val="24"/>
          <w:szCs w:val="24"/>
        </w:rPr>
        <w:t>8</w:t>
      </w:r>
      <w:r>
        <w:rPr>
          <w:rFonts w:hint="eastAsia" w:hAnsi="宋体"/>
          <w:kern w:val="0"/>
          <w:sz w:val="24"/>
          <w:szCs w:val="24"/>
        </w:rPr>
        <w:t>）尾水水质监测</w:t>
      </w:r>
    </w:p>
    <w:p>
      <w:pPr>
        <w:spacing w:line="360" w:lineRule="auto"/>
        <w:ind w:firstLine="480" w:firstLineChars="200"/>
        <w:textAlignment w:val="center"/>
        <w:rPr>
          <w:rFonts w:ascii="宋体" w:hAnsi="宋体"/>
          <w:bCs/>
          <w:sz w:val="24"/>
          <w:szCs w:val="24"/>
        </w:rPr>
      </w:pPr>
      <w:r>
        <w:rPr>
          <w:rFonts w:hint="eastAsia" w:hAnsi="宋体"/>
          <w:kern w:val="0"/>
          <w:sz w:val="24"/>
          <w:szCs w:val="24"/>
        </w:rPr>
        <w:t>（</w:t>
      </w:r>
      <w:r>
        <w:rPr>
          <w:rFonts w:hAnsi="宋体"/>
          <w:kern w:val="0"/>
          <w:sz w:val="24"/>
          <w:szCs w:val="24"/>
        </w:rPr>
        <w:t>9</w:t>
      </w:r>
      <w:r>
        <w:rPr>
          <w:rFonts w:hint="eastAsia" w:hAnsi="宋体"/>
          <w:kern w:val="0"/>
          <w:sz w:val="24"/>
          <w:szCs w:val="24"/>
        </w:rPr>
        <w:t>）排放水质要求</w:t>
      </w:r>
    </w:p>
    <w:p>
      <w:pPr>
        <w:pStyle w:val="2"/>
        <w:spacing w:before="156" w:beforeLines="50" w:after="156" w:afterLines="50" w:line="360" w:lineRule="auto"/>
        <w:rPr>
          <w:rFonts w:ascii="宋体" w:hAnsi="宋体"/>
          <w:sz w:val="24"/>
          <w:szCs w:val="24"/>
        </w:rPr>
      </w:pPr>
      <w:bookmarkStart w:id="10" w:name="_Toc12612485"/>
      <w:r>
        <w:rPr>
          <w:rFonts w:hint="eastAsia" w:ascii="宋体" w:hAnsi="宋体"/>
          <w:sz w:val="24"/>
          <w:szCs w:val="24"/>
        </w:rPr>
        <w:t>三、预期的经济效果</w:t>
      </w:r>
      <w:bookmarkEnd w:id="10"/>
    </w:p>
    <w:p>
      <w:pPr>
        <w:pStyle w:val="23"/>
        <w:spacing w:line="360" w:lineRule="auto"/>
        <w:ind w:firstLine="480"/>
        <w:rPr>
          <w:sz w:val="24"/>
          <w:szCs w:val="24"/>
        </w:rPr>
      </w:pPr>
      <w:r>
        <w:rPr>
          <w:rFonts w:hint="eastAsia"/>
          <w:sz w:val="24"/>
          <w:szCs w:val="24"/>
        </w:rPr>
        <w:t>陆基圆池循环水养殖模式具有节水节地，养殖密度高，经济效益高等特点，由陆基圆池、集排污、尾水处理系统等组成，通过一系列水处理单元将陆基圆池中产生的残饵粪便、氨氮、亚硝酸盐氮等有害污染物加以去除，净化养殖水体环境为目的，利用物理过滤、生物过滤、消毒、增氧等处理将净化后的水体重新输入陆基圆池的过程。陆基圆池循环水养殖不仅可以解决水资源利用率低的问题，还可以为养殖生物提供稳定可靠、舒适优质的生活环境，为高密度养殖提供有利条件。本标准实施后，将构建和完善陆基圆池循环水养殖标准体系，科学指导陆基圆池循环水养殖，促进水产养殖业持续健康发展。</w:t>
      </w:r>
    </w:p>
    <w:p>
      <w:pPr>
        <w:pStyle w:val="2"/>
        <w:spacing w:before="156" w:beforeLines="50" w:after="156" w:afterLines="50" w:line="360" w:lineRule="auto"/>
        <w:rPr>
          <w:rFonts w:ascii="宋体" w:hAnsi="宋体"/>
          <w:sz w:val="24"/>
          <w:szCs w:val="24"/>
        </w:rPr>
      </w:pPr>
      <w:bookmarkStart w:id="11" w:name="_Toc12612486"/>
      <w:r>
        <w:rPr>
          <w:rFonts w:hint="eastAsia" w:ascii="宋体" w:hAnsi="宋体"/>
          <w:sz w:val="24"/>
          <w:szCs w:val="24"/>
        </w:rPr>
        <w:t>四、标准涉及的相关知识产权说明</w:t>
      </w:r>
      <w:bookmarkEnd w:id="11"/>
    </w:p>
    <w:p>
      <w:pPr>
        <w:spacing w:line="360" w:lineRule="auto"/>
        <w:ind w:firstLine="420"/>
        <w:rPr>
          <w:rFonts w:ascii="宋体" w:cs="Times New Roman"/>
          <w:kern w:val="0"/>
          <w:sz w:val="24"/>
          <w:szCs w:val="24"/>
        </w:rPr>
      </w:pPr>
      <w:r>
        <w:rPr>
          <w:rFonts w:hint="eastAsia" w:ascii="宋体" w:cs="Times New Roman"/>
          <w:kern w:val="0"/>
          <w:sz w:val="24"/>
          <w:szCs w:val="24"/>
        </w:rPr>
        <w:t>标准未涉及到可识别专利。</w:t>
      </w:r>
    </w:p>
    <w:p>
      <w:pPr>
        <w:pStyle w:val="2"/>
        <w:spacing w:before="156" w:beforeLines="50" w:after="156" w:afterLines="50" w:line="360" w:lineRule="auto"/>
        <w:rPr>
          <w:rFonts w:ascii="宋体" w:hAnsi="宋体"/>
          <w:sz w:val="24"/>
          <w:szCs w:val="24"/>
        </w:rPr>
      </w:pPr>
      <w:bookmarkStart w:id="12" w:name="_Toc12612487"/>
      <w:r>
        <w:rPr>
          <w:rFonts w:hint="eastAsia" w:ascii="宋体" w:hAnsi="宋体"/>
          <w:sz w:val="24"/>
          <w:szCs w:val="24"/>
        </w:rPr>
        <w:t>五、标准水平分析比较</w:t>
      </w:r>
      <w:bookmarkEnd w:id="12"/>
    </w:p>
    <w:p>
      <w:pPr>
        <w:spacing w:line="360" w:lineRule="auto"/>
        <w:ind w:firstLine="480" w:firstLineChars="200"/>
        <w:rPr>
          <w:sz w:val="24"/>
          <w:szCs w:val="24"/>
        </w:rPr>
      </w:pPr>
      <w:r>
        <w:rPr>
          <w:rFonts w:hint="eastAsia" w:ascii="宋体" w:hAnsi="宋体"/>
          <w:sz w:val="24"/>
          <w:szCs w:val="24"/>
        </w:rPr>
        <w:t>目前尚未见国内外发布有关陆基圆池循环水养殖尾水处理技术方面的类似标准。</w:t>
      </w:r>
    </w:p>
    <w:p>
      <w:pPr>
        <w:pStyle w:val="2"/>
        <w:spacing w:before="156" w:beforeLines="50" w:after="156" w:afterLines="50" w:line="360" w:lineRule="auto"/>
        <w:rPr>
          <w:rFonts w:ascii="宋体" w:hAnsi="宋体"/>
          <w:sz w:val="24"/>
          <w:szCs w:val="24"/>
        </w:rPr>
      </w:pPr>
      <w:bookmarkStart w:id="13" w:name="_Toc12612488"/>
      <w:r>
        <w:rPr>
          <w:rFonts w:hint="eastAsia" w:ascii="宋体" w:hAnsi="宋体"/>
          <w:sz w:val="24"/>
          <w:szCs w:val="24"/>
        </w:rPr>
        <w:t>六、与有关的现行法律、法规和标准的关系</w:t>
      </w:r>
      <w:bookmarkEnd w:id="13"/>
    </w:p>
    <w:p>
      <w:pPr>
        <w:spacing w:line="360" w:lineRule="auto"/>
        <w:ind w:firstLine="480" w:firstLineChars="200"/>
        <w:textAlignment w:val="center"/>
        <w:rPr>
          <w:sz w:val="24"/>
          <w:szCs w:val="24"/>
        </w:rPr>
      </w:pPr>
      <w:r>
        <w:rPr>
          <w:rFonts w:hint="eastAsia"/>
          <w:sz w:val="24"/>
          <w:szCs w:val="24"/>
        </w:rPr>
        <w:t>本标准的编制应以下列法律、法规、国家标准和文件为依据：《中华人民共和国标准化法》、《中华人民共和国渔业法》、《地方水产养殖业水污染物排放控制标准制订技术导则》、《关于加快推进水产养殖业绿色发展的若干意见》。</w:t>
      </w:r>
    </w:p>
    <w:p>
      <w:pPr>
        <w:pStyle w:val="40"/>
        <w:spacing w:line="360" w:lineRule="auto"/>
        <w:ind w:firstLine="480" w:firstLineChars="200"/>
        <w:rPr>
          <w:rFonts w:ascii="宋体" w:hAnsi="宋体"/>
          <w:bCs/>
          <w:sz w:val="24"/>
          <w:szCs w:val="24"/>
        </w:rPr>
      </w:pPr>
      <w:r>
        <w:rPr>
          <w:rFonts w:hint="eastAsia" w:ascii="宋体" w:hAnsi="宋体"/>
          <w:bCs/>
          <w:sz w:val="24"/>
          <w:szCs w:val="24"/>
        </w:rPr>
        <w:t>依据的相关标准为：</w:t>
      </w:r>
    </w:p>
    <w:p>
      <w:pPr>
        <w:pStyle w:val="23"/>
        <w:spacing w:line="360" w:lineRule="auto"/>
        <w:ind w:firstLine="480"/>
        <w:rPr>
          <w:sz w:val="24"/>
          <w:szCs w:val="24"/>
        </w:rPr>
      </w:pPr>
      <w:r>
        <w:rPr>
          <w:rFonts w:hint="eastAsia"/>
          <w:sz w:val="24"/>
          <w:szCs w:val="24"/>
        </w:rPr>
        <w:t>GB 11607 渔业水质标准</w:t>
      </w:r>
    </w:p>
    <w:p>
      <w:pPr>
        <w:pStyle w:val="23"/>
        <w:spacing w:line="360" w:lineRule="auto"/>
        <w:ind w:firstLine="480"/>
        <w:rPr>
          <w:sz w:val="24"/>
          <w:szCs w:val="24"/>
        </w:rPr>
      </w:pPr>
      <w:r>
        <w:rPr>
          <w:rFonts w:hint="eastAsia"/>
          <w:sz w:val="24"/>
          <w:szCs w:val="24"/>
        </w:rPr>
        <w:t>GB 50288 灌溉与排水工程设计标准</w:t>
      </w:r>
    </w:p>
    <w:p>
      <w:pPr>
        <w:pStyle w:val="23"/>
        <w:spacing w:line="360" w:lineRule="auto"/>
        <w:ind w:firstLine="480"/>
        <w:rPr>
          <w:sz w:val="24"/>
          <w:szCs w:val="24"/>
        </w:rPr>
      </w:pPr>
      <w:r>
        <w:rPr>
          <w:rFonts w:hint="eastAsia"/>
          <w:sz w:val="24"/>
          <w:szCs w:val="24"/>
        </w:rPr>
        <w:t>HJ 636</w:t>
      </w:r>
      <w:r>
        <w:rPr>
          <w:sz w:val="24"/>
          <w:szCs w:val="24"/>
        </w:rPr>
        <w:t xml:space="preserve"> </w:t>
      </w:r>
      <w:r>
        <w:rPr>
          <w:rFonts w:hint="eastAsia"/>
          <w:sz w:val="24"/>
          <w:szCs w:val="24"/>
        </w:rPr>
        <w:t>水质 总氮的测定碱性过硫酸钾消解紫外分光光度法</w:t>
      </w:r>
    </w:p>
    <w:p>
      <w:pPr>
        <w:pStyle w:val="23"/>
        <w:spacing w:line="360" w:lineRule="auto"/>
        <w:ind w:firstLine="480"/>
        <w:rPr>
          <w:sz w:val="24"/>
          <w:szCs w:val="24"/>
        </w:rPr>
      </w:pPr>
      <w:r>
        <w:rPr>
          <w:rFonts w:hint="eastAsia"/>
          <w:sz w:val="24"/>
          <w:szCs w:val="24"/>
        </w:rPr>
        <w:t>SC/T 9101淡水池塘养殖水排放要求</w:t>
      </w:r>
    </w:p>
    <w:p>
      <w:pPr>
        <w:pStyle w:val="2"/>
        <w:spacing w:before="156" w:beforeLines="50" w:after="156" w:afterLines="50" w:line="360" w:lineRule="auto"/>
        <w:rPr>
          <w:rFonts w:ascii="宋体" w:hAnsi="宋体"/>
          <w:sz w:val="24"/>
          <w:szCs w:val="24"/>
        </w:rPr>
      </w:pPr>
      <w:bookmarkStart w:id="14" w:name="_Toc12612489"/>
      <w:r>
        <w:rPr>
          <w:rFonts w:hint="eastAsia" w:ascii="宋体" w:hAnsi="宋体"/>
          <w:sz w:val="24"/>
          <w:szCs w:val="24"/>
        </w:rPr>
        <w:t>七、</w:t>
      </w:r>
      <w:r>
        <w:rPr>
          <w:rFonts w:ascii="宋体" w:hAnsi="宋体"/>
          <w:sz w:val="24"/>
          <w:szCs w:val="24"/>
        </w:rPr>
        <w:t>重大分岐意见的处理经过和依据</w:t>
      </w:r>
      <w:bookmarkEnd w:id="14"/>
    </w:p>
    <w:p>
      <w:pPr>
        <w:pStyle w:val="40"/>
        <w:spacing w:line="360" w:lineRule="auto"/>
        <w:ind w:firstLine="480" w:firstLineChars="200"/>
        <w:rPr>
          <w:rFonts w:ascii="宋体" w:hAnsi="宋体"/>
          <w:bCs/>
          <w:sz w:val="24"/>
          <w:szCs w:val="24"/>
        </w:rPr>
      </w:pPr>
      <w:r>
        <w:rPr>
          <w:rFonts w:hint="eastAsia" w:ascii="宋体" w:hAnsi="宋体"/>
          <w:bCs/>
          <w:sz w:val="24"/>
          <w:szCs w:val="24"/>
        </w:rPr>
        <w:t>无重大分歧意见</w:t>
      </w:r>
    </w:p>
    <w:p>
      <w:pPr>
        <w:pStyle w:val="2"/>
        <w:spacing w:before="156" w:beforeLines="50" w:after="156" w:afterLines="50" w:line="360" w:lineRule="auto"/>
        <w:rPr>
          <w:rFonts w:ascii="宋体" w:hAnsi="宋体"/>
          <w:sz w:val="24"/>
          <w:szCs w:val="24"/>
        </w:rPr>
      </w:pPr>
      <w:bookmarkStart w:id="15" w:name="_Toc12612490"/>
      <w:r>
        <w:rPr>
          <w:rFonts w:hint="eastAsia" w:ascii="宋体" w:hAnsi="宋体"/>
          <w:sz w:val="24"/>
          <w:szCs w:val="24"/>
        </w:rPr>
        <w:t>八、贯彻标准的要求和措施建议</w:t>
      </w:r>
      <w:bookmarkEnd w:id="15"/>
    </w:p>
    <w:p>
      <w:pPr>
        <w:spacing w:line="360" w:lineRule="auto"/>
        <w:ind w:firstLine="480" w:firstLineChars="200"/>
        <w:rPr>
          <w:rFonts w:ascii="宋体" w:hAnsi="宋体"/>
          <w:sz w:val="24"/>
          <w:szCs w:val="24"/>
        </w:rPr>
      </w:pPr>
      <w:r>
        <w:rPr>
          <w:rFonts w:hint="eastAsia" w:ascii="宋体" w:hAnsi="宋体"/>
          <w:sz w:val="24"/>
          <w:szCs w:val="24"/>
        </w:rPr>
        <w:t>本标准批准后，希望能尽快颁布实施本标准，在实践中不断修改、完善，积累更多的经验，为有效推广陆基圆池循环水养殖尾水处理起到应有作用。为达此目的，我们建议如下：</w:t>
      </w:r>
    </w:p>
    <w:p>
      <w:pPr>
        <w:spacing w:line="360" w:lineRule="auto"/>
        <w:ind w:firstLine="480" w:firstLineChars="200"/>
        <w:rPr>
          <w:rFonts w:ascii="宋体" w:hAnsi="宋体"/>
          <w:sz w:val="24"/>
          <w:szCs w:val="24"/>
        </w:rPr>
      </w:pPr>
      <w:r>
        <w:rPr>
          <w:rFonts w:hint="eastAsia" w:ascii="宋体" w:hAnsi="宋体"/>
          <w:sz w:val="24"/>
          <w:szCs w:val="24"/>
        </w:rPr>
        <w:t>（1）及时推进本标准的发布实施。</w:t>
      </w:r>
    </w:p>
    <w:p>
      <w:pPr>
        <w:pStyle w:val="40"/>
        <w:spacing w:line="360" w:lineRule="auto"/>
        <w:ind w:firstLine="480" w:firstLineChars="200"/>
        <w:rPr>
          <w:rFonts w:ascii="宋体" w:hAnsi="宋体"/>
          <w:sz w:val="24"/>
          <w:szCs w:val="24"/>
        </w:rPr>
      </w:pPr>
      <w:r>
        <w:rPr>
          <w:rFonts w:hint="eastAsia" w:ascii="宋体" w:hAnsi="宋体"/>
          <w:sz w:val="24"/>
          <w:szCs w:val="24"/>
        </w:rPr>
        <w:t>（2）加强对标准的宣传、贯彻，尤其是对渔业主管部门，以及从事工程化养殖的各单位，在宣传贯彻和应用中要不断收集反馈意见。</w:t>
      </w:r>
    </w:p>
    <w:p>
      <w:pPr>
        <w:pStyle w:val="2"/>
        <w:spacing w:before="156" w:beforeLines="50" w:after="156" w:afterLines="50" w:line="360" w:lineRule="auto"/>
        <w:rPr>
          <w:rFonts w:ascii="宋体" w:hAnsi="宋体"/>
          <w:sz w:val="24"/>
          <w:szCs w:val="24"/>
        </w:rPr>
      </w:pPr>
      <w:bookmarkStart w:id="16" w:name="_Toc12612491"/>
      <w:r>
        <w:rPr>
          <w:rFonts w:hint="eastAsia" w:ascii="宋体" w:hAnsi="宋体"/>
          <w:sz w:val="24"/>
          <w:szCs w:val="24"/>
        </w:rPr>
        <w:t>九、其他应予说明的事项</w:t>
      </w:r>
      <w:bookmarkEnd w:id="16"/>
    </w:p>
    <w:p>
      <w:pPr>
        <w:pStyle w:val="40"/>
        <w:spacing w:line="360" w:lineRule="auto"/>
        <w:ind w:firstLine="480" w:firstLineChars="200"/>
        <w:rPr>
          <w:rFonts w:ascii="宋体" w:hAnsi="宋体"/>
          <w:bCs/>
          <w:sz w:val="24"/>
          <w:szCs w:val="24"/>
        </w:rPr>
      </w:pPr>
      <w:r>
        <w:rPr>
          <w:rFonts w:hint="eastAsia" w:ascii="宋体" w:hAnsi="宋体"/>
          <w:bCs/>
          <w:sz w:val="24"/>
          <w:szCs w:val="24"/>
        </w:rPr>
        <w:t>主要意见汇总及处理情况待续。</w:t>
      </w:r>
    </w:p>
    <w:p>
      <w:pPr>
        <w:pStyle w:val="40"/>
        <w:spacing w:line="360" w:lineRule="auto"/>
        <w:ind w:firstLine="481" w:firstLineChars="200"/>
        <w:rPr>
          <w:rFonts w:ascii="宋体" w:hAnsi="宋体"/>
          <w:b/>
          <w:sz w:val="24"/>
          <w:szCs w:val="24"/>
        </w:rPr>
      </w:pPr>
    </w:p>
    <w:sectPr>
      <w:footerReference r:id="rId3" w:type="default"/>
      <w:pgSz w:w="11906" w:h="16838"/>
      <w:pgMar w:top="1440" w:right="1418" w:bottom="1440" w:left="141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CESI宋体-GB2312">
    <w:panose1 w:val="02000500000000000000"/>
    <w:charset w:val="86"/>
    <w:family w:val="auto"/>
    <w:pitch w:val="default"/>
    <w:sig w:usb0="800002AF" w:usb1="08476CF8" w:usb2="00000010" w:usb3="00000000" w:csb0="0004000F" w:csb1="00000000"/>
  </w:font>
  <w:font w:name="Arial">
    <w:altName w:val="Times New Roman"/>
    <w:panose1 w:val="020B0604020202020204"/>
    <w:charset w:val="00"/>
    <w:family w:val="swiss"/>
    <w:pitch w:val="default"/>
    <w:sig w:usb0="00000000" w:usb1="00000000" w:usb2="00000009" w:usb3="00000000" w:csb0="000001F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pPr>
    <w:r>
      <w:fldChar w:fldCharType="begin"/>
    </w:r>
    <w:r>
      <w:rPr>
        <w:rStyle w:val="17"/>
      </w:rPr>
      <w:instrText xml:space="preserve"> PAGE  </w:instrText>
    </w:r>
    <w:r>
      <w:fldChar w:fldCharType="separate"/>
    </w:r>
    <w:r>
      <w:rPr>
        <w:rStyle w:val="17"/>
      </w:rPr>
      <w:t>2</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upperLetter"/>
      <w:pStyle w:val="52"/>
      <w:suff w:val="nothing"/>
      <w:lvlText w:val="附　录　%1"/>
      <w:lvlJc w:val="left"/>
      <w:pPr>
        <w:ind w:left="4536"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567"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567" w:firstLine="0"/>
      </w:pPr>
      <w:rPr>
        <w:rFonts w:hint="eastAsia" w:ascii="黑体" w:hAnsi="Times New Roman" w:eastAsia="黑体"/>
        <w:b w:val="0"/>
        <w:i w:val="0"/>
        <w:sz w:val="21"/>
      </w:rPr>
    </w:lvl>
    <w:lvl w:ilvl="3" w:tentative="0">
      <w:start w:val="1"/>
      <w:numFmt w:val="decimal"/>
      <w:suff w:val="nothing"/>
      <w:lvlText w:val="%1.%2.%3.%4　"/>
      <w:lvlJc w:val="left"/>
      <w:pPr>
        <w:ind w:left="426" w:firstLine="0"/>
      </w:pPr>
      <w:rPr>
        <w:rFonts w:hint="eastAsia" w:ascii="黑体" w:hAnsi="Times New Roman" w:eastAsia="黑体"/>
        <w:b w:val="0"/>
        <w:i w:val="0"/>
        <w:color w:val="auto"/>
        <w:sz w:val="21"/>
      </w:rPr>
    </w:lvl>
    <w:lvl w:ilvl="4" w:tentative="0">
      <w:start w:val="1"/>
      <w:numFmt w:val="decimal"/>
      <w:suff w:val="nothing"/>
      <w:lvlText w:val="%1.%2.%3.%4.%5　"/>
      <w:lvlJc w:val="left"/>
      <w:pPr>
        <w:ind w:left="-2977" w:firstLine="0"/>
      </w:pPr>
      <w:rPr>
        <w:rFonts w:hint="eastAsia" w:ascii="黑体" w:hAnsi="Times New Roman" w:eastAsia="黑体"/>
        <w:b w:val="0"/>
        <w:i w:val="0"/>
        <w:sz w:val="21"/>
      </w:rPr>
    </w:lvl>
    <w:lvl w:ilvl="5" w:tentative="0">
      <w:start w:val="1"/>
      <w:numFmt w:val="decimal"/>
      <w:suff w:val="nothing"/>
      <w:lvlText w:val="%1.%2.%3.%4.%5.%6　"/>
      <w:lvlJc w:val="left"/>
      <w:pPr>
        <w:ind w:left="-2977" w:firstLine="0"/>
      </w:pPr>
      <w:rPr>
        <w:rFonts w:hint="eastAsia" w:ascii="黑体" w:hAnsi="Times New Roman" w:eastAsia="黑体"/>
        <w:b w:val="0"/>
        <w:i w:val="0"/>
        <w:sz w:val="21"/>
      </w:rPr>
    </w:lvl>
    <w:lvl w:ilvl="6" w:tentative="0">
      <w:start w:val="1"/>
      <w:numFmt w:val="decimal"/>
      <w:suff w:val="nothing"/>
      <w:lvlText w:val="%1.%2.%3.%4.%5.%6.%7　"/>
      <w:lvlJc w:val="left"/>
      <w:pPr>
        <w:ind w:left="-2977" w:firstLine="0"/>
      </w:pPr>
      <w:rPr>
        <w:rFonts w:hint="eastAsia" w:ascii="黑体" w:hAnsi="Times New Roman" w:eastAsia="黑体"/>
        <w:b w:val="0"/>
        <w:i w:val="0"/>
        <w:sz w:val="21"/>
      </w:rPr>
    </w:lvl>
    <w:lvl w:ilvl="7" w:tentative="0">
      <w:start w:val="1"/>
      <w:numFmt w:val="decimal"/>
      <w:lvlText w:val="%1.%2.%3.%4.%5.%6.%7.%8"/>
      <w:lvlJc w:val="left"/>
      <w:pPr>
        <w:tabs>
          <w:tab w:val="left" w:pos="1417"/>
        </w:tabs>
        <w:ind w:left="1417" w:hanging="1418"/>
      </w:pPr>
      <w:rPr>
        <w:rFonts w:hint="eastAsia"/>
      </w:rPr>
    </w:lvl>
    <w:lvl w:ilvl="8" w:tentative="0">
      <w:start w:val="1"/>
      <w:numFmt w:val="decimal"/>
      <w:lvlText w:val="%1.%2.%3.%4.%5.%6.%7.%8.%9"/>
      <w:lvlJc w:val="left"/>
      <w:pPr>
        <w:tabs>
          <w:tab w:val="left" w:pos="2125"/>
        </w:tabs>
        <w:ind w:left="2125" w:hanging="1700"/>
      </w:pPr>
      <w:rPr>
        <w:rFonts w:hint="eastAsia"/>
      </w:rPr>
    </w:lvl>
  </w:abstractNum>
  <w:abstractNum w:abstractNumId="1">
    <w:nsid w:val="00000004"/>
    <w:multiLevelType w:val="multilevel"/>
    <w:tmpl w:val="00000004"/>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1"/>
      <w:suff w:val="nothing"/>
      <w:lvlText w:val="%1.%2　"/>
      <w:lvlJc w:val="left"/>
      <w:pPr>
        <w:ind w:left="99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142" w:firstLine="0"/>
      </w:pPr>
      <w:rPr>
        <w:rFonts w:hint="eastAsia" w:ascii="黑体" w:hAnsi="Times New Roman" w:eastAsia="黑体"/>
        <w:b w:val="0"/>
        <w:i w:val="0"/>
        <w:color w:val="auto"/>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05"/>
    <w:multiLevelType w:val="multilevel"/>
    <w:tmpl w:val="00000005"/>
    <w:lvl w:ilvl="0" w:tentative="0">
      <w:start w:val="1"/>
      <w:numFmt w:val="lowerLetter"/>
      <w:pStyle w:val="33"/>
      <w:lvlText w:val="%1)"/>
      <w:lvlJc w:val="left"/>
      <w:pPr>
        <w:tabs>
          <w:tab w:val="left" w:pos="986"/>
        </w:tabs>
        <w:ind w:left="986"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00000006"/>
    <w:multiLevelType w:val="multilevel"/>
    <w:tmpl w:val="00000006"/>
    <w:lvl w:ilvl="0" w:tentative="0">
      <w:start w:val="1"/>
      <w:numFmt w:val="none"/>
      <w:pStyle w:val="59"/>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00000009"/>
    <w:multiLevelType w:val="multilevel"/>
    <w:tmpl w:val="00000009"/>
    <w:lvl w:ilvl="0" w:tentative="0">
      <w:start w:val="1"/>
      <w:numFmt w:val="decimal"/>
      <w:pStyle w:val="37"/>
      <w:suff w:val="nothing"/>
      <w:lvlText w:val="%1　"/>
      <w:lvlJc w:val="left"/>
      <w:pPr>
        <w:ind w:left="426" w:firstLine="0"/>
      </w:pPr>
      <w:rPr>
        <w:rFonts w:hint="eastAsia" w:ascii="黑体" w:hAnsi="Times New Roman" w:eastAsia="黑体"/>
        <w:b w:val="0"/>
        <w:i w:val="0"/>
        <w:sz w:val="21"/>
        <w:szCs w:val="21"/>
      </w:rPr>
    </w:lvl>
    <w:lvl w:ilvl="1" w:tentative="0">
      <w:start w:val="1"/>
      <w:numFmt w:val="decimal"/>
      <w:suff w:val="nothing"/>
      <w:lvlText w:val="%1.%2　"/>
      <w:lvlJc w:val="left"/>
      <w:pPr>
        <w:ind w:left="284"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color w:val="auto"/>
        <w:sz w:val="21"/>
      </w:rPr>
    </w:lvl>
    <w:lvl w:ilvl="4" w:tentative="0">
      <w:start w:val="1"/>
      <w:numFmt w:val="decimal"/>
      <w:suff w:val="nothing"/>
      <w:lvlText w:val="%1.%2.%3.%4.%5　"/>
      <w:lvlJc w:val="left"/>
      <w:pPr>
        <w:ind w:left="567" w:firstLine="0"/>
      </w:pPr>
      <w:rPr>
        <w:rFonts w:hint="eastAsia" w:ascii="黑体" w:hAnsi="Times New Roman" w:eastAsia="黑体"/>
        <w:b w:val="0"/>
        <w:i w:val="0"/>
        <w:color w:val="auto"/>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000000A"/>
    <w:multiLevelType w:val="multilevel"/>
    <w:tmpl w:val="0000000A"/>
    <w:lvl w:ilvl="0" w:tentative="0">
      <w:start w:val="1"/>
      <w:numFmt w:val="upperLetter"/>
      <w:suff w:val="nothing"/>
      <w:lvlText w:val="附　录　%1"/>
      <w:lvlJc w:val="left"/>
      <w:pPr>
        <w:ind w:left="4536" w:firstLine="0"/>
      </w:pPr>
      <w:rPr>
        <w:rFonts w:hint="eastAsia" w:ascii="黑体" w:hAnsi="Times New Roman" w:eastAsia="黑体"/>
        <w:b w:val="0"/>
        <w:i w:val="0"/>
        <w:spacing w:val="0"/>
        <w:w w:val="100"/>
        <w:sz w:val="21"/>
      </w:rPr>
    </w:lvl>
    <w:lvl w:ilvl="1" w:tentative="0">
      <w:start w:val="1"/>
      <w:numFmt w:val="decimal"/>
      <w:pStyle w:val="44"/>
      <w:suff w:val="nothing"/>
      <w:lvlText w:val="%1.%2　"/>
      <w:lvlJc w:val="left"/>
      <w:pPr>
        <w:ind w:left="567" w:firstLine="0"/>
      </w:pPr>
      <w:rPr>
        <w:rFonts w:hint="eastAsia" w:ascii="黑体" w:hAnsi="Times New Roman" w:eastAsia="黑体"/>
        <w:b w:val="0"/>
        <w:i w:val="0"/>
        <w:snapToGrid/>
        <w:spacing w:val="0"/>
        <w:w w:val="100"/>
        <w:kern w:val="21"/>
        <w:sz w:val="21"/>
      </w:rPr>
    </w:lvl>
    <w:lvl w:ilvl="2" w:tentative="0">
      <w:start w:val="1"/>
      <w:numFmt w:val="decimal"/>
      <w:pStyle w:val="43"/>
      <w:suff w:val="nothing"/>
      <w:lvlText w:val="%1.%2.%3　"/>
      <w:lvlJc w:val="left"/>
      <w:pPr>
        <w:ind w:left="0" w:firstLine="0"/>
      </w:pPr>
      <w:rPr>
        <w:rFonts w:hint="eastAsia" w:ascii="黑体" w:hAnsi="Times New Roman" w:eastAsia="黑体"/>
        <w:b w:val="0"/>
        <w:i w:val="0"/>
        <w:sz w:val="21"/>
      </w:rPr>
    </w:lvl>
    <w:lvl w:ilvl="3" w:tentative="0">
      <w:start w:val="1"/>
      <w:numFmt w:val="decimal"/>
      <w:pStyle w:val="36"/>
      <w:suff w:val="nothing"/>
      <w:lvlText w:val="%1.%2.%3.%4　"/>
      <w:lvlJc w:val="left"/>
      <w:pPr>
        <w:ind w:left="426" w:firstLine="0"/>
      </w:pPr>
      <w:rPr>
        <w:rFonts w:hint="eastAsia" w:ascii="黑体" w:hAnsi="Times New Roman" w:eastAsia="黑体"/>
        <w:b w:val="0"/>
        <w:i w:val="0"/>
        <w:sz w:val="21"/>
      </w:rPr>
    </w:lvl>
    <w:lvl w:ilvl="4" w:tentative="0">
      <w:start w:val="1"/>
      <w:numFmt w:val="decimal"/>
      <w:suff w:val="nothing"/>
      <w:lvlText w:val="%1.%2.%3.%4.%5　"/>
      <w:lvlJc w:val="left"/>
      <w:pPr>
        <w:ind w:left="-2977" w:firstLine="0"/>
      </w:pPr>
      <w:rPr>
        <w:rFonts w:hint="eastAsia" w:ascii="黑体" w:hAnsi="Times New Roman" w:eastAsia="黑体"/>
        <w:b w:val="0"/>
        <w:i w:val="0"/>
        <w:sz w:val="21"/>
      </w:rPr>
    </w:lvl>
    <w:lvl w:ilvl="5" w:tentative="0">
      <w:start w:val="1"/>
      <w:numFmt w:val="decimal"/>
      <w:suff w:val="nothing"/>
      <w:lvlText w:val="%1.%2.%3.%4.%5.%6　"/>
      <w:lvlJc w:val="left"/>
      <w:pPr>
        <w:ind w:left="-2977" w:firstLine="0"/>
      </w:pPr>
      <w:rPr>
        <w:rFonts w:hint="eastAsia" w:ascii="黑体" w:hAnsi="Times New Roman" w:eastAsia="黑体"/>
        <w:b w:val="0"/>
        <w:i w:val="0"/>
        <w:sz w:val="21"/>
      </w:rPr>
    </w:lvl>
    <w:lvl w:ilvl="6" w:tentative="0">
      <w:start w:val="1"/>
      <w:numFmt w:val="decimal"/>
      <w:suff w:val="nothing"/>
      <w:lvlText w:val="%1.%2.%3.%4.%5.%6.%7　"/>
      <w:lvlJc w:val="left"/>
      <w:pPr>
        <w:ind w:left="-2977" w:firstLine="0"/>
      </w:pPr>
      <w:rPr>
        <w:rFonts w:hint="eastAsia" w:ascii="黑体" w:hAnsi="Times New Roman" w:eastAsia="黑体"/>
        <w:b w:val="0"/>
        <w:i w:val="0"/>
        <w:sz w:val="21"/>
      </w:rPr>
    </w:lvl>
    <w:lvl w:ilvl="7" w:tentative="0">
      <w:start w:val="1"/>
      <w:numFmt w:val="decimal"/>
      <w:lvlText w:val="%1.%2.%3.%4.%5.%6.%7.%8"/>
      <w:lvlJc w:val="left"/>
      <w:pPr>
        <w:tabs>
          <w:tab w:val="left" w:pos="1417"/>
        </w:tabs>
        <w:ind w:left="1417" w:hanging="1418"/>
      </w:pPr>
      <w:rPr>
        <w:rFonts w:hint="eastAsia"/>
      </w:rPr>
    </w:lvl>
    <w:lvl w:ilvl="8" w:tentative="0">
      <w:start w:val="1"/>
      <w:numFmt w:val="decimal"/>
      <w:lvlText w:val="%1.%2.%3.%4.%5.%6.%7.%8.%9"/>
      <w:lvlJc w:val="left"/>
      <w:pPr>
        <w:tabs>
          <w:tab w:val="left" w:pos="2125"/>
        </w:tabs>
        <w:ind w:left="2125" w:hanging="1700"/>
      </w:pPr>
      <w:rPr>
        <w:rFonts w:hint="eastAsia"/>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70A"/>
    <w:rsid w:val="000119E4"/>
    <w:rsid w:val="00014200"/>
    <w:rsid w:val="00016218"/>
    <w:rsid w:val="0002144A"/>
    <w:rsid w:val="00037E15"/>
    <w:rsid w:val="00042A4A"/>
    <w:rsid w:val="00045085"/>
    <w:rsid w:val="000517AE"/>
    <w:rsid w:val="000547B7"/>
    <w:rsid w:val="00055355"/>
    <w:rsid w:val="000579DA"/>
    <w:rsid w:val="00064A77"/>
    <w:rsid w:val="00064B02"/>
    <w:rsid w:val="0009341F"/>
    <w:rsid w:val="000A1058"/>
    <w:rsid w:val="000A2D63"/>
    <w:rsid w:val="000A5FCC"/>
    <w:rsid w:val="000A6F16"/>
    <w:rsid w:val="000B15CC"/>
    <w:rsid w:val="000B37DE"/>
    <w:rsid w:val="000D369E"/>
    <w:rsid w:val="000E3B96"/>
    <w:rsid w:val="000E4DC1"/>
    <w:rsid w:val="000F17B1"/>
    <w:rsid w:val="00102C2A"/>
    <w:rsid w:val="001063F2"/>
    <w:rsid w:val="0011044F"/>
    <w:rsid w:val="00120EB3"/>
    <w:rsid w:val="0012334D"/>
    <w:rsid w:val="001374B1"/>
    <w:rsid w:val="0014225B"/>
    <w:rsid w:val="00152F5F"/>
    <w:rsid w:val="00154ACC"/>
    <w:rsid w:val="00156035"/>
    <w:rsid w:val="00172A27"/>
    <w:rsid w:val="001871BE"/>
    <w:rsid w:val="00192254"/>
    <w:rsid w:val="001B7A2A"/>
    <w:rsid w:val="001C177C"/>
    <w:rsid w:val="001D59A6"/>
    <w:rsid w:val="001E32D0"/>
    <w:rsid w:val="001E4E38"/>
    <w:rsid w:val="001E7199"/>
    <w:rsid w:val="001F61F6"/>
    <w:rsid w:val="002042BE"/>
    <w:rsid w:val="00221205"/>
    <w:rsid w:val="002228FA"/>
    <w:rsid w:val="00232EA7"/>
    <w:rsid w:val="00252135"/>
    <w:rsid w:val="00253733"/>
    <w:rsid w:val="00257FC6"/>
    <w:rsid w:val="00260291"/>
    <w:rsid w:val="00276E44"/>
    <w:rsid w:val="002845BB"/>
    <w:rsid w:val="0029160E"/>
    <w:rsid w:val="002942D9"/>
    <w:rsid w:val="002B3396"/>
    <w:rsid w:val="002B3CAC"/>
    <w:rsid w:val="002D3172"/>
    <w:rsid w:val="002E23C9"/>
    <w:rsid w:val="002E738B"/>
    <w:rsid w:val="002F7E30"/>
    <w:rsid w:val="00302760"/>
    <w:rsid w:val="003055F4"/>
    <w:rsid w:val="0032105A"/>
    <w:rsid w:val="0032352B"/>
    <w:rsid w:val="00337885"/>
    <w:rsid w:val="00343E06"/>
    <w:rsid w:val="00350ADB"/>
    <w:rsid w:val="00355004"/>
    <w:rsid w:val="003557E5"/>
    <w:rsid w:val="0036340F"/>
    <w:rsid w:val="0037099E"/>
    <w:rsid w:val="00371D85"/>
    <w:rsid w:val="00374FDB"/>
    <w:rsid w:val="00387128"/>
    <w:rsid w:val="0038761D"/>
    <w:rsid w:val="003A234F"/>
    <w:rsid w:val="003B0196"/>
    <w:rsid w:val="003B0687"/>
    <w:rsid w:val="003B19C5"/>
    <w:rsid w:val="003B2B40"/>
    <w:rsid w:val="003B4194"/>
    <w:rsid w:val="003B4ACE"/>
    <w:rsid w:val="003B63F4"/>
    <w:rsid w:val="003C23B6"/>
    <w:rsid w:val="003C4EA8"/>
    <w:rsid w:val="003E33D6"/>
    <w:rsid w:val="003F1156"/>
    <w:rsid w:val="003F3CBA"/>
    <w:rsid w:val="003F646A"/>
    <w:rsid w:val="004032C1"/>
    <w:rsid w:val="00404092"/>
    <w:rsid w:val="00404E16"/>
    <w:rsid w:val="00412E68"/>
    <w:rsid w:val="00414789"/>
    <w:rsid w:val="00417308"/>
    <w:rsid w:val="004209D4"/>
    <w:rsid w:val="0042531E"/>
    <w:rsid w:val="00433698"/>
    <w:rsid w:val="00437902"/>
    <w:rsid w:val="00456602"/>
    <w:rsid w:val="00456B91"/>
    <w:rsid w:val="00472A12"/>
    <w:rsid w:val="00474AEA"/>
    <w:rsid w:val="00483569"/>
    <w:rsid w:val="00483D36"/>
    <w:rsid w:val="004859E3"/>
    <w:rsid w:val="004935F1"/>
    <w:rsid w:val="00495E76"/>
    <w:rsid w:val="00496486"/>
    <w:rsid w:val="004A2CB0"/>
    <w:rsid w:val="004B1398"/>
    <w:rsid w:val="004C1B8B"/>
    <w:rsid w:val="004D16AF"/>
    <w:rsid w:val="004D5801"/>
    <w:rsid w:val="004F5D2E"/>
    <w:rsid w:val="00501A34"/>
    <w:rsid w:val="00507AE1"/>
    <w:rsid w:val="00510162"/>
    <w:rsid w:val="00527C10"/>
    <w:rsid w:val="00530A1A"/>
    <w:rsid w:val="005322DC"/>
    <w:rsid w:val="00537D60"/>
    <w:rsid w:val="0054022B"/>
    <w:rsid w:val="00544845"/>
    <w:rsid w:val="005549A7"/>
    <w:rsid w:val="005722CC"/>
    <w:rsid w:val="005760F0"/>
    <w:rsid w:val="005774CD"/>
    <w:rsid w:val="00593691"/>
    <w:rsid w:val="005A01EE"/>
    <w:rsid w:val="005A4D2C"/>
    <w:rsid w:val="005A51AD"/>
    <w:rsid w:val="005A5970"/>
    <w:rsid w:val="005A5C3F"/>
    <w:rsid w:val="005B0842"/>
    <w:rsid w:val="005B3393"/>
    <w:rsid w:val="005C4BB8"/>
    <w:rsid w:val="005C7E72"/>
    <w:rsid w:val="005D204F"/>
    <w:rsid w:val="005D2EA1"/>
    <w:rsid w:val="005D3A03"/>
    <w:rsid w:val="005D7713"/>
    <w:rsid w:val="005E62C1"/>
    <w:rsid w:val="005F4F28"/>
    <w:rsid w:val="00604D23"/>
    <w:rsid w:val="00610C0B"/>
    <w:rsid w:val="00611F8D"/>
    <w:rsid w:val="00615C2E"/>
    <w:rsid w:val="0062169C"/>
    <w:rsid w:val="006250AF"/>
    <w:rsid w:val="00632A8A"/>
    <w:rsid w:val="00635F0F"/>
    <w:rsid w:val="00640599"/>
    <w:rsid w:val="00643118"/>
    <w:rsid w:val="00657398"/>
    <w:rsid w:val="00667815"/>
    <w:rsid w:val="00677464"/>
    <w:rsid w:val="00681628"/>
    <w:rsid w:val="00691689"/>
    <w:rsid w:val="006922C3"/>
    <w:rsid w:val="00694459"/>
    <w:rsid w:val="006A31A4"/>
    <w:rsid w:val="006A5E2A"/>
    <w:rsid w:val="006A7BEA"/>
    <w:rsid w:val="006B2C08"/>
    <w:rsid w:val="006B7C63"/>
    <w:rsid w:val="006C0406"/>
    <w:rsid w:val="006C2A2E"/>
    <w:rsid w:val="006C6288"/>
    <w:rsid w:val="006D1574"/>
    <w:rsid w:val="006D1831"/>
    <w:rsid w:val="006D62A6"/>
    <w:rsid w:val="006D6A97"/>
    <w:rsid w:val="006E21E2"/>
    <w:rsid w:val="006E232C"/>
    <w:rsid w:val="006E3A9B"/>
    <w:rsid w:val="006E4745"/>
    <w:rsid w:val="006E5610"/>
    <w:rsid w:val="006F4608"/>
    <w:rsid w:val="0070411F"/>
    <w:rsid w:val="00706383"/>
    <w:rsid w:val="007118D6"/>
    <w:rsid w:val="00714A93"/>
    <w:rsid w:val="0073147F"/>
    <w:rsid w:val="00733D5A"/>
    <w:rsid w:val="00737240"/>
    <w:rsid w:val="00737B5F"/>
    <w:rsid w:val="0076264B"/>
    <w:rsid w:val="00766C33"/>
    <w:rsid w:val="007700D8"/>
    <w:rsid w:val="00770615"/>
    <w:rsid w:val="0077274C"/>
    <w:rsid w:val="007746A4"/>
    <w:rsid w:val="00775DFC"/>
    <w:rsid w:val="00786B08"/>
    <w:rsid w:val="007B33C1"/>
    <w:rsid w:val="007B686A"/>
    <w:rsid w:val="007B7640"/>
    <w:rsid w:val="007D2AA6"/>
    <w:rsid w:val="007E4453"/>
    <w:rsid w:val="007F1E22"/>
    <w:rsid w:val="007F3C3A"/>
    <w:rsid w:val="007F4FD6"/>
    <w:rsid w:val="008021DB"/>
    <w:rsid w:val="00804971"/>
    <w:rsid w:val="00827113"/>
    <w:rsid w:val="008308F5"/>
    <w:rsid w:val="00830B7B"/>
    <w:rsid w:val="0084170F"/>
    <w:rsid w:val="00863EEE"/>
    <w:rsid w:val="00867AB7"/>
    <w:rsid w:val="008721B9"/>
    <w:rsid w:val="008724C1"/>
    <w:rsid w:val="00873B72"/>
    <w:rsid w:val="008772F7"/>
    <w:rsid w:val="00881553"/>
    <w:rsid w:val="00881C45"/>
    <w:rsid w:val="0088413E"/>
    <w:rsid w:val="008A2436"/>
    <w:rsid w:val="008B0B9F"/>
    <w:rsid w:val="008B349E"/>
    <w:rsid w:val="008C076A"/>
    <w:rsid w:val="008C5871"/>
    <w:rsid w:val="008C6543"/>
    <w:rsid w:val="008D7F13"/>
    <w:rsid w:val="008E5D06"/>
    <w:rsid w:val="008E5E72"/>
    <w:rsid w:val="008F3DA4"/>
    <w:rsid w:val="008F4377"/>
    <w:rsid w:val="008F6879"/>
    <w:rsid w:val="00903259"/>
    <w:rsid w:val="00905F32"/>
    <w:rsid w:val="00906210"/>
    <w:rsid w:val="009073BC"/>
    <w:rsid w:val="00912631"/>
    <w:rsid w:val="0091652B"/>
    <w:rsid w:val="0091670C"/>
    <w:rsid w:val="009219EA"/>
    <w:rsid w:val="0092412C"/>
    <w:rsid w:val="00925121"/>
    <w:rsid w:val="00937CBC"/>
    <w:rsid w:val="009406B9"/>
    <w:rsid w:val="009471D4"/>
    <w:rsid w:val="009555AA"/>
    <w:rsid w:val="00980936"/>
    <w:rsid w:val="00981173"/>
    <w:rsid w:val="009B74A6"/>
    <w:rsid w:val="009C2008"/>
    <w:rsid w:val="009C27A9"/>
    <w:rsid w:val="009C3155"/>
    <w:rsid w:val="009E2BF9"/>
    <w:rsid w:val="009E6E46"/>
    <w:rsid w:val="009F4EF5"/>
    <w:rsid w:val="00A01E19"/>
    <w:rsid w:val="00A02B52"/>
    <w:rsid w:val="00A03F5E"/>
    <w:rsid w:val="00A129E6"/>
    <w:rsid w:val="00A216E4"/>
    <w:rsid w:val="00A2617C"/>
    <w:rsid w:val="00A2692A"/>
    <w:rsid w:val="00A30557"/>
    <w:rsid w:val="00A370A8"/>
    <w:rsid w:val="00A466D5"/>
    <w:rsid w:val="00A50114"/>
    <w:rsid w:val="00A666ED"/>
    <w:rsid w:val="00A81DA2"/>
    <w:rsid w:val="00A95D16"/>
    <w:rsid w:val="00A969E9"/>
    <w:rsid w:val="00AA357D"/>
    <w:rsid w:val="00AC3F0B"/>
    <w:rsid w:val="00AC4A8B"/>
    <w:rsid w:val="00AC5A8B"/>
    <w:rsid w:val="00AD3213"/>
    <w:rsid w:val="00AE1807"/>
    <w:rsid w:val="00AE43DB"/>
    <w:rsid w:val="00AF0290"/>
    <w:rsid w:val="00AF344E"/>
    <w:rsid w:val="00AF7270"/>
    <w:rsid w:val="00AF730C"/>
    <w:rsid w:val="00B01060"/>
    <w:rsid w:val="00B01FB1"/>
    <w:rsid w:val="00B04F21"/>
    <w:rsid w:val="00B150C4"/>
    <w:rsid w:val="00B17CDF"/>
    <w:rsid w:val="00B23135"/>
    <w:rsid w:val="00B23B94"/>
    <w:rsid w:val="00B31C40"/>
    <w:rsid w:val="00B6161F"/>
    <w:rsid w:val="00B653FD"/>
    <w:rsid w:val="00B65B94"/>
    <w:rsid w:val="00B74164"/>
    <w:rsid w:val="00B74C99"/>
    <w:rsid w:val="00B83FDA"/>
    <w:rsid w:val="00B85163"/>
    <w:rsid w:val="00B91C4F"/>
    <w:rsid w:val="00B9271F"/>
    <w:rsid w:val="00B92E0B"/>
    <w:rsid w:val="00B9525D"/>
    <w:rsid w:val="00BA5AAF"/>
    <w:rsid w:val="00BA7ACF"/>
    <w:rsid w:val="00BB071E"/>
    <w:rsid w:val="00BB515B"/>
    <w:rsid w:val="00BB7023"/>
    <w:rsid w:val="00BC0A42"/>
    <w:rsid w:val="00BC0EA7"/>
    <w:rsid w:val="00BC1A28"/>
    <w:rsid w:val="00BC3176"/>
    <w:rsid w:val="00BC7F52"/>
    <w:rsid w:val="00BD2454"/>
    <w:rsid w:val="00BD7BC1"/>
    <w:rsid w:val="00BE290C"/>
    <w:rsid w:val="00BE6AE2"/>
    <w:rsid w:val="00BF17C4"/>
    <w:rsid w:val="00BF2469"/>
    <w:rsid w:val="00BF60C4"/>
    <w:rsid w:val="00C00852"/>
    <w:rsid w:val="00C16318"/>
    <w:rsid w:val="00C21CDE"/>
    <w:rsid w:val="00C21E55"/>
    <w:rsid w:val="00C37836"/>
    <w:rsid w:val="00C406E4"/>
    <w:rsid w:val="00C40A3D"/>
    <w:rsid w:val="00C44C32"/>
    <w:rsid w:val="00C50ABA"/>
    <w:rsid w:val="00C63AE4"/>
    <w:rsid w:val="00C63D71"/>
    <w:rsid w:val="00C7068D"/>
    <w:rsid w:val="00C75E12"/>
    <w:rsid w:val="00C80532"/>
    <w:rsid w:val="00C83E26"/>
    <w:rsid w:val="00C873F6"/>
    <w:rsid w:val="00C915A7"/>
    <w:rsid w:val="00C93191"/>
    <w:rsid w:val="00C97CA2"/>
    <w:rsid w:val="00CB4178"/>
    <w:rsid w:val="00CB47C3"/>
    <w:rsid w:val="00CB519D"/>
    <w:rsid w:val="00CC124F"/>
    <w:rsid w:val="00CD26D1"/>
    <w:rsid w:val="00CD6545"/>
    <w:rsid w:val="00CE2F12"/>
    <w:rsid w:val="00CE3F2F"/>
    <w:rsid w:val="00CF2FE6"/>
    <w:rsid w:val="00CF665D"/>
    <w:rsid w:val="00CF70E0"/>
    <w:rsid w:val="00D029E9"/>
    <w:rsid w:val="00D12150"/>
    <w:rsid w:val="00D33EB6"/>
    <w:rsid w:val="00D465A6"/>
    <w:rsid w:val="00D54571"/>
    <w:rsid w:val="00D610D0"/>
    <w:rsid w:val="00D63A3C"/>
    <w:rsid w:val="00D765FA"/>
    <w:rsid w:val="00D85122"/>
    <w:rsid w:val="00D86907"/>
    <w:rsid w:val="00DA3773"/>
    <w:rsid w:val="00DD19D8"/>
    <w:rsid w:val="00DE04EF"/>
    <w:rsid w:val="00DE0E95"/>
    <w:rsid w:val="00DE1491"/>
    <w:rsid w:val="00DE3458"/>
    <w:rsid w:val="00DF0394"/>
    <w:rsid w:val="00DF1EC6"/>
    <w:rsid w:val="00DF356D"/>
    <w:rsid w:val="00DF45FF"/>
    <w:rsid w:val="00E00844"/>
    <w:rsid w:val="00E04D83"/>
    <w:rsid w:val="00E078A7"/>
    <w:rsid w:val="00E13EA3"/>
    <w:rsid w:val="00E47BC6"/>
    <w:rsid w:val="00E47D79"/>
    <w:rsid w:val="00E6632A"/>
    <w:rsid w:val="00E70851"/>
    <w:rsid w:val="00E7553A"/>
    <w:rsid w:val="00E80E3A"/>
    <w:rsid w:val="00EA076D"/>
    <w:rsid w:val="00EA581A"/>
    <w:rsid w:val="00EB1BE5"/>
    <w:rsid w:val="00EB459A"/>
    <w:rsid w:val="00ED4F4C"/>
    <w:rsid w:val="00ED702F"/>
    <w:rsid w:val="00ED734B"/>
    <w:rsid w:val="00EE5597"/>
    <w:rsid w:val="00EE776C"/>
    <w:rsid w:val="00EF7F26"/>
    <w:rsid w:val="00F01AE8"/>
    <w:rsid w:val="00F04665"/>
    <w:rsid w:val="00F1612C"/>
    <w:rsid w:val="00F204C0"/>
    <w:rsid w:val="00F3530A"/>
    <w:rsid w:val="00F35DCB"/>
    <w:rsid w:val="00F41DE2"/>
    <w:rsid w:val="00F558AD"/>
    <w:rsid w:val="00F61F6D"/>
    <w:rsid w:val="00F724FD"/>
    <w:rsid w:val="00F73DA9"/>
    <w:rsid w:val="00F75833"/>
    <w:rsid w:val="00F75EFD"/>
    <w:rsid w:val="00F80C59"/>
    <w:rsid w:val="00F85A37"/>
    <w:rsid w:val="00F86029"/>
    <w:rsid w:val="00F933EE"/>
    <w:rsid w:val="00FA1EEE"/>
    <w:rsid w:val="00FA4092"/>
    <w:rsid w:val="00FA71A0"/>
    <w:rsid w:val="00FB0E25"/>
    <w:rsid w:val="00FB306B"/>
    <w:rsid w:val="00FB509D"/>
    <w:rsid w:val="00FB7186"/>
    <w:rsid w:val="00FB7DB7"/>
    <w:rsid w:val="00FC4898"/>
    <w:rsid w:val="00FC5813"/>
    <w:rsid w:val="00FC6E27"/>
    <w:rsid w:val="00FD51B7"/>
    <w:rsid w:val="00FE3585"/>
    <w:rsid w:val="00FE714F"/>
    <w:rsid w:val="00FF6CDE"/>
    <w:rsid w:val="018A1ABD"/>
    <w:rsid w:val="052812C3"/>
    <w:rsid w:val="07755451"/>
    <w:rsid w:val="0E9B6765"/>
    <w:rsid w:val="13966DCF"/>
    <w:rsid w:val="14A2519A"/>
    <w:rsid w:val="1AFB379D"/>
    <w:rsid w:val="1E29729A"/>
    <w:rsid w:val="1E301A87"/>
    <w:rsid w:val="29390CCF"/>
    <w:rsid w:val="349C125C"/>
    <w:rsid w:val="3DC4588E"/>
    <w:rsid w:val="4CB9441D"/>
    <w:rsid w:val="4E9778EE"/>
    <w:rsid w:val="4F93419C"/>
    <w:rsid w:val="51AF4336"/>
    <w:rsid w:val="54FB360A"/>
    <w:rsid w:val="5E7BE12F"/>
    <w:rsid w:val="6040426C"/>
    <w:rsid w:val="631C3984"/>
    <w:rsid w:val="65BB0F40"/>
    <w:rsid w:val="6A51318B"/>
    <w:rsid w:val="6E4C6526"/>
    <w:rsid w:val="7BEFE740"/>
    <w:rsid w:val="7E291253"/>
    <w:rsid w:val="7EAE1281"/>
    <w:rsid w:val="7EDBBC1A"/>
    <w:rsid w:val="7F6D6662"/>
    <w:rsid w:val="7F6DCDC3"/>
    <w:rsid w:val="7FB2ED11"/>
    <w:rsid w:val="7FBE50BF"/>
    <w:rsid w:val="9AEF2D5F"/>
    <w:rsid w:val="B71B468E"/>
    <w:rsid w:val="E3A9A625"/>
    <w:rsid w:val="F4EF29EF"/>
    <w:rsid w:val="F5772C2A"/>
    <w:rsid w:val="F91F84C7"/>
    <w:rsid w:val="FECBD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szCs w:val="2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4"/>
    <w:basedOn w:val="1"/>
    <w:next w:val="1"/>
    <w:link w:val="31"/>
    <w:qFormat/>
    <w:uiPriority w:val="0"/>
    <w:pPr>
      <w:keepNext/>
      <w:keepLines/>
      <w:spacing w:before="280" w:after="290" w:line="376" w:lineRule="auto"/>
      <w:outlineLvl w:val="3"/>
    </w:pPr>
    <w:rPr>
      <w:rFonts w:ascii="等线 Light" w:hAnsi="等线 Light" w:eastAsia="等线 Light" w:cs="Times New Roman"/>
      <w:b/>
      <w:bCs/>
      <w:sz w:val="28"/>
      <w:szCs w:val="28"/>
    </w:rPr>
  </w:style>
  <w:style w:type="paragraph" w:styleId="5">
    <w:name w:val="heading 5"/>
    <w:basedOn w:val="1"/>
    <w:next w:val="1"/>
    <w:link w:val="27"/>
    <w:qFormat/>
    <w:uiPriority w:val="0"/>
    <w:pPr>
      <w:keepNext/>
      <w:keepLines/>
      <w:spacing w:before="280" w:after="290" w:line="376" w:lineRule="auto"/>
      <w:outlineLvl w:val="4"/>
    </w:pPr>
    <w:rPr>
      <w:b/>
      <w:bCs/>
      <w:sz w:val="28"/>
      <w:szCs w:val="28"/>
    </w:rPr>
  </w:style>
  <w:style w:type="paragraph" w:styleId="6">
    <w:name w:val="heading 6"/>
    <w:basedOn w:val="1"/>
    <w:next w:val="1"/>
    <w:link w:val="20"/>
    <w:qFormat/>
    <w:uiPriority w:val="0"/>
    <w:pPr>
      <w:keepNext/>
      <w:keepLines/>
      <w:spacing w:before="240" w:after="64" w:line="320" w:lineRule="auto"/>
      <w:outlineLvl w:val="5"/>
    </w:pPr>
    <w:rPr>
      <w:rFonts w:ascii="等线 Light" w:hAnsi="等线 Light" w:eastAsia="等线 Light" w:cs="Times New Roman"/>
      <w:b/>
      <w:bCs/>
      <w:sz w:val="24"/>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alloon Text"/>
    <w:basedOn w:val="1"/>
    <w:link w:val="30"/>
    <w:qFormat/>
    <w:uiPriority w:val="0"/>
    <w:rPr>
      <w:sz w:val="18"/>
      <w:szCs w:val="18"/>
    </w:rPr>
  </w:style>
  <w:style w:type="paragraph" w:styleId="9">
    <w:name w:val="footer"/>
    <w:basedOn w:val="1"/>
    <w:link w:val="29"/>
    <w:qFormat/>
    <w:uiPriority w:val="0"/>
    <w:pPr>
      <w:tabs>
        <w:tab w:val="center" w:pos="4153"/>
        <w:tab w:val="right" w:pos="8306"/>
      </w:tabs>
      <w:snapToGrid w:val="0"/>
      <w:jc w:val="left"/>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8"/>
    <w:qFormat/>
    <w:uiPriority w:val="0"/>
    <w:pPr>
      <w:spacing w:before="240" w:after="60"/>
      <w:jc w:val="center"/>
      <w:outlineLvl w:val="0"/>
    </w:pPr>
    <w:rPr>
      <w:rFonts w:ascii="等线 Light" w:hAnsi="等线 Light" w:cs="Times New Roman"/>
      <w:b/>
      <w:bCs/>
      <w:sz w:val="32"/>
      <w:szCs w:val="32"/>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ascii="Times New Roman" w:hAnsi="Times New Roman" w:eastAsia="宋体"/>
      <w:sz w:val="18"/>
    </w:rPr>
  </w:style>
  <w:style w:type="character" w:styleId="18">
    <w:name w:val="Hyperlink"/>
    <w:unhideWhenUsed/>
    <w:qFormat/>
    <w:uiPriority w:val="99"/>
    <w:rPr>
      <w:color w:val="0563C1"/>
      <w:u w:val="single"/>
    </w:rPr>
  </w:style>
  <w:style w:type="character" w:styleId="19">
    <w:name w:val="annotation reference"/>
    <w:basedOn w:val="16"/>
    <w:qFormat/>
    <w:uiPriority w:val="0"/>
    <w:rPr>
      <w:sz w:val="21"/>
      <w:szCs w:val="21"/>
    </w:rPr>
  </w:style>
  <w:style w:type="character" w:customStyle="1" w:styleId="20">
    <w:name w:val="标题 6 字符"/>
    <w:link w:val="6"/>
    <w:semiHidden/>
    <w:qFormat/>
    <w:uiPriority w:val="0"/>
    <w:rPr>
      <w:rFonts w:ascii="等线 Light" w:hAnsi="等线 Light" w:eastAsia="等线 Light" w:cs="Times New Roman"/>
      <w:b/>
      <w:bCs/>
      <w:kern w:val="2"/>
      <w:sz w:val="24"/>
      <w:szCs w:val="24"/>
    </w:rPr>
  </w:style>
  <w:style w:type="character" w:customStyle="1" w:styleId="21">
    <w:name w:val="标题 2 字符"/>
    <w:link w:val="3"/>
    <w:qFormat/>
    <w:uiPriority w:val="0"/>
    <w:rPr>
      <w:rFonts w:ascii="Arial" w:hAnsi="Arial" w:eastAsia="黑体"/>
      <w:b/>
      <w:bCs/>
      <w:kern w:val="2"/>
      <w:sz w:val="32"/>
      <w:szCs w:val="32"/>
    </w:rPr>
  </w:style>
  <w:style w:type="character" w:customStyle="1" w:styleId="22">
    <w:name w:val="段 Char Char"/>
    <w:link w:val="23"/>
    <w:qFormat/>
    <w:uiPriority w:val="0"/>
    <w:rPr>
      <w:rFonts w:ascii="宋体"/>
      <w:sz w:val="21"/>
      <w:lang w:val="en-US" w:eastAsia="zh-CN" w:bidi="ar-SA"/>
    </w:rPr>
  </w:style>
  <w:style w:type="paragraph" w:customStyle="1" w:styleId="23">
    <w:name w:val="段"/>
    <w:link w:val="2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4">
    <w:name w:val="段 Char"/>
    <w:qFormat/>
    <w:locked/>
    <w:uiPriority w:val="0"/>
    <w:rPr>
      <w:rFonts w:ascii="宋体" w:hAnsi="宋体"/>
      <w:sz w:val="21"/>
      <w:lang w:val="en-US" w:eastAsia="zh-CN"/>
    </w:rPr>
  </w:style>
  <w:style w:type="character" w:customStyle="1" w:styleId="25">
    <w:name w:val="页眉 字符"/>
    <w:link w:val="10"/>
    <w:qFormat/>
    <w:uiPriority w:val="0"/>
    <w:rPr>
      <w:sz w:val="18"/>
      <w:szCs w:val="18"/>
    </w:rPr>
  </w:style>
  <w:style w:type="character" w:customStyle="1" w:styleId="26">
    <w:name w:val="标题 1 字符"/>
    <w:link w:val="2"/>
    <w:qFormat/>
    <w:uiPriority w:val="0"/>
    <w:rPr>
      <w:rFonts w:ascii="Calibri" w:hAnsi="Calibri" w:cs="黑体"/>
      <w:b/>
      <w:bCs/>
      <w:kern w:val="44"/>
      <w:sz w:val="44"/>
      <w:szCs w:val="44"/>
    </w:rPr>
  </w:style>
  <w:style w:type="character" w:customStyle="1" w:styleId="27">
    <w:name w:val="标题 5 字符"/>
    <w:link w:val="5"/>
    <w:semiHidden/>
    <w:qFormat/>
    <w:uiPriority w:val="0"/>
    <w:rPr>
      <w:rFonts w:ascii="Calibri" w:hAnsi="Calibri" w:cs="黑体"/>
      <w:b/>
      <w:bCs/>
      <w:kern w:val="2"/>
      <w:sz w:val="28"/>
      <w:szCs w:val="28"/>
    </w:rPr>
  </w:style>
  <w:style w:type="character" w:customStyle="1" w:styleId="28">
    <w:name w:val="标题 字符"/>
    <w:link w:val="13"/>
    <w:qFormat/>
    <w:uiPriority w:val="0"/>
    <w:rPr>
      <w:rFonts w:ascii="等线 Light" w:hAnsi="等线 Light" w:cs="Times New Roman"/>
      <w:b/>
      <w:bCs/>
      <w:kern w:val="2"/>
      <w:sz w:val="32"/>
      <w:szCs w:val="32"/>
    </w:rPr>
  </w:style>
  <w:style w:type="character" w:customStyle="1" w:styleId="29">
    <w:name w:val="页脚 字符"/>
    <w:link w:val="9"/>
    <w:qFormat/>
    <w:uiPriority w:val="0"/>
    <w:rPr>
      <w:sz w:val="18"/>
      <w:szCs w:val="18"/>
    </w:rPr>
  </w:style>
  <w:style w:type="character" w:customStyle="1" w:styleId="30">
    <w:name w:val="批注框文本 字符"/>
    <w:link w:val="8"/>
    <w:qFormat/>
    <w:uiPriority w:val="0"/>
    <w:rPr>
      <w:rFonts w:ascii="Calibri" w:hAnsi="Calibri" w:cs="黑体"/>
      <w:kern w:val="2"/>
      <w:sz w:val="18"/>
      <w:szCs w:val="18"/>
    </w:rPr>
  </w:style>
  <w:style w:type="character" w:customStyle="1" w:styleId="31">
    <w:name w:val="标题 4 字符"/>
    <w:link w:val="4"/>
    <w:semiHidden/>
    <w:qFormat/>
    <w:uiPriority w:val="0"/>
    <w:rPr>
      <w:rFonts w:ascii="等线 Light" w:hAnsi="等线 Light" w:eastAsia="等线 Light" w:cs="Times New Roman"/>
      <w:b/>
      <w:bCs/>
      <w:kern w:val="2"/>
      <w:sz w:val="28"/>
      <w:szCs w:val="28"/>
    </w:rPr>
  </w:style>
  <w:style w:type="character" w:customStyle="1" w:styleId="32">
    <w:name w:val="字母编号列项（一级） Char"/>
    <w:link w:val="33"/>
    <w:qFormat/>
    <w:locked/>
    <w:uiPriority w:val="0"/>
    <w:rPr>
      <w:rFonts w:ascii="宋体"/>
      <w:sz w:val="21"/>
    </w:rPr>
  </w:style>
  <w:style w:type="paragraph" w:customStyle="1" w:styleId="33">
    <w:name w:val="字母编号列项（一级）"/>
    <w:link w:val="32"/>
    <w:qFormat/>
    <w:uiPriority w:val="0"/>
    <w:pPr>
      <w:numPr>
        <w:ilvl w:val="0"/>
        <w:numId w:val="1"/>
      </w:numPr>
      <w:tabs>
        <w:tab w:val="left" w:pos="839"/>
      </w:tabs>
      <w:jc w:val="both"/>
    </w:pPr>
    <w:rPr>
      <w:rFonts w:ascii="宋体" w:hAnsi="Times New Roman" w:eastAsia="宋体" w:cs="Times New Roman"/>
      <w:sz w:val="21"/>
      <w:lang w:val="en-US" w:eastAsia="zh-CN" w:bidi="ar-SA"/>
    </w:rPr>
  </w:style>
  <w:style w:type="paragraph" w:customStyle="1" w:styleId="34">
    <w:name w:val="附录四级条标题"/>
    <w:basedOn w:val="35"/>
    <w:next w:val="1"/>
    <w:qFormat/>
    <w:uiPriority w:val="0"/>
    <w:pPr>
      <w:tabs>
        <w:tab w:val="left" w:pos="360"/>
      </w:tabs>
      <w:outlineLvl w:val="5"/>
    </w:pPr>
  </w:style>
  <w:style w:type="paragraph" w:customStyle="1" w:styleId="35">
    <w:name w:val="附录三级条标题"/>
    <w:basedOn w:val="36"/>
    <w:next w:val="1"/>
    <w:qFormat/>
    <w:uiPriority w:val="0"/>
    <w:pPr>
      <w:numPr>
        <w:ilvl w:val="0"/>
        <w:numId w:val="0"/>
      </w:numPr>
      <w:tabs>
        <w:tab w:val="left" w:pos="360"/>
      </w:tabs>
      <w:spacing w:before="0" w:after="0"/>
      <w:ind w:left="-2977"/>
      <w:textAlignment w:val="auto"/>
      <w:outlineLvl w:val="4"/>
    </w:pPr>
    <w:rPr>
      <w:rFonts w:cs="Times New Roman"/>
    </w:rPr>
  </w:style>
  <w:style w:type="paragraph" w:customStyle="1" w:styleId="36">
    <w:name w:val="附录二级条标题"/>
    <w:basedOn w:val="1"/>
    <w:next w:val="23"/>
    <w:qFormat/>
    <w:uiPriority w:val="0"/>
    <w:pPr>
      <w:widowControl/>
      <w:numPr>
        <w:ilvl w:val="3"/>
        <w:numId w:val="2"/>
      </w:numPr>
      <w:tabs>
        <w:tab w:val="left" w:pos="360"/>
      </w:tabs>
      <w:wordWrap w:val="0"/>
      <w:overflowPunct w:val="0"/>
      <w:autoSpaceDE w:val="0"/>
      <w:autoSpaceDN w:val="0"/>
      <w:spacing w:before="156" w:beforeLines="50" w:after="156" w:afterLines="50"/>
      <w:textAlignment w:val="baseline"/>
      <w:outlineLvl w:val="3"/>
    </w:pPr>
    <w:rPr>
      <w:rFonts w:ascii="黑体" w:eastAsia="黑体"/>
      <w:kern w:val="21"/>
      <w:szCs w:val="20"/>
    </w:rPr>
  </w:style>
  <w:style w:type="paragraph" w:customStyle="1" w:styleId="37">
    <w:name w:val="章标题"/>
    <w:next w:val="23"/>
    <w:qFormat/>
    <w:uiPriority w:val="0"/>
    <w:pPr>
      <w:numPr>
        <w:ilvl w:val="0"/>
        <w:numId w:val="3"/>
      </w:numPr>
      <w:spacing w:before="312" w:beforeLines="100" w:after="312" w:afterLines="100"/>
      <w:ind w:left="0"/>
      <w:jc w:val="both"/>
      <w:outlineLvl w:val="1"/>
    </w:pPr>
    <w:rPr>
      <w:rFonts w:ascii="黑体" w:hAnsi="Times New Roman" w:eastAsia="黑体" w:cs="Times New Roman"/>
      <w:sz w:val="21"/>
      <w:lang w:val="en-US" w:eastAsia="zh-CN" w:bidi="ar-SA"/>
    </w:rPr>
  </w:style>
  <w:style w:type="paragraph" w:customStyle="1" w:styleId="38">
    <w:name w:val="目录 31"/>
    <w:basedOn w:val="1"/>
    <w:next w:val="1"/>
    <w:qFormat/>
    <w:uiPriority w:val="39"/>
    <w:pPr>
      <w:tabs>
        <w:tab w:val="left" w:pos="1680"/>
        <w:tab w:val="right" w:leader="hyphen" w:pos="9060"/>
      </w:tabs>
      <w:ind w:left="840" w:leftChars="400"/>
    </w:pPr>
  </w:style>
  <w:style w:type="paragraph" w:customStyle="1" w:styleId="39">
    <w:name w:val="数字编号列项（二级）"/>
    <w:qFormat/>
    <w:uiPriority w:val="0"/>
    <w:pPr>
      <w:tabs>
        <w:tab w:val="left" w:pos="1259"/>
      </w:tabs>
      <w:ind w:left="1259" w:hanging="420"/>
      <w:jc w:val="both"/>
    </w:pPr>
    <w:rPr>
      <w:rFonts w:ascii="宋体" w:hAnsi="Times New Roman" w:eastAsia="宋体" w:cs="Times New Roman"/>
      <w:sz w:val="21"/>
      <w:lang w:val="en-US" w:eastAsia="zh-CN" w:bidi="ar-SA"/>
    </w:rPr>
  </w:style>
  <w:style w:type="paragraph" w:customStyle="1" w:styleId="40">
    <w:name w:val="正文 New"/>
    <w:qFormat/>
    <w:uiPriority w:val="0"/>
    <w:pPr>
      <w:widowControl w:val="0"/>
      <w:jc w:val="both"/>
    </w:pPr>
    <w:rPr>
      <w:rFonts w:ascii="Times New Roman" w:hAnsi="Times New Roman" w:eastAsia="宋体" w:cs="Times New Roman"/>
      <w:lang w:val="en-US" w:eastAsia="zh-CN" w:bidi="ar-SA"/>
    </w:rPr>
  </w:style>
  <w:style w:type="paragraph" w:customStyle="1" w:styleId="41">
    <w:name w:val="目录 21"/>
    <w:basedOn w:val="1"/>
    <w:next w:val="1"/>
    <w:qFormat/>
    <w:uiPriority w:val="39"/>
    <w:pPr>
      <w:ind w:left="420" w:leftChars="200"/>
    </w:pPr>
  </w:style>
  <w:style w:type="paragraph" w:customStyle="1" w:styleId="42">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43">
    <w:name w:val="附录一级条标题"/>
    <w:basedOn w:val="44"/>
    <w:next w:val="23"/>
    <w:qFormat/>
    <w:uiPriority w:val="0"/>
    <w:pPr>
      <w:numPr>
        <w:ilvl w:val="2"/>
      </w:numPr>
      <w:autoSpaceDN w:val="0"/>
      <w:spacing w:before="156" w:beforeLines="50" w:after="156" w:afterLines="50"/>
      <w:outlineLvl w:val="2"/>
    </w:pPr>
  </w:style>
  <w:style w:type="paragraph" w:customStyle="1" w:styleId="44">
    <w:name w:val="附录章标题"/>
    <w:next w:val="23"/>
    <w:qFormat/>
    <w:uiPriority w:val="0"/>
    <w:pPr>
      <w:numPr>
        <w:ilvl w:val="1"/>
        <w:numId w:val="2"/>
      </w:numPr>
      <w:wordWrap w:val="0"/>
      <w:overflowPunct w:val="0"/>
      <w:autoSpaceDE w:val="0"/>
      <w:spacing w:before="312" w:beforeLines="100" w:after="312"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45">
    <w:name w:val="注×：（正文）"/>
    <w:qFormat/>
    <w:uiPriority w:val="0"/>
    <w:pPr>
      <w:tabs>
        <w:tab w:val="left" w:pos="1200"/>
      </w:tabs>
      <w:ind w:left="1200" w:hanging="720"/>
      <w:jc w:val="both"/>
    </w:pPr>
    <w:rPr>
      <w:rFonts w:ascii="宋体" w:hAnsi="Times New Roman" w:eastAsia="宋体" w:cs="Times New Roman"/>
      <w:sz w:val="18"/>
      <w:szCs w:val="18"/>
      <w:lang w:val="en-US" w:eastAsia="zh-CN" w:bidi="ar-SA"/>
    </w:rPr>
  </w:style>
  <w:style w:type="paragraph" w:customStyle="1" w:styleId="46">
    <w:name w:val="四级条标题"/>
    <w:basedOn w:val="47"/>
    <w:next w:val="1"/>
    <w:qFormat/>
    <w:uiPriority w:val="0"/>
    <w:pPr>
      <w:numPr>
        <w:ilvl w:val="0"/>
        <w:numId w:val="0"/>
      </w:numPr>
      <w:tabs>
        <w:tab w:val="left" w:pos="360"/>
      </w:tabs>
      <w:spacing w:before="0" w:beforeLines="50" w:after="0" w:afterLines="50"/>
      <w:ind w:left="1134"/>
      <w:outlineLvl w:val="5"/>
    </w:pPr>
    <w:rPr>
      <w:rFonts w:hint="default" w:cs="Times New Roman"/>
      <w:kern w:val="0"/>
      <w:szCs w:val="21"/>
    </w:rPr>
  </w:style>
  <w:style w:type="paragraph" w:customStyle="1" w:styleId="47">
    <w:name w:val="三级条标题"/>
    <w:basedOn w:val="48"/>
    <w:next w:val="23"/>
    <w:qFormat/>
    <w:uiPriority w:val="0"/>
    <w:pPr>
      <w:numPr>
        <w:ilvl w:val="3"/>
        <w:numId w:val="4"/>
      </w:numPr>
      <w:tabs>
        <w:tab w:val="left" w:pos="360"/>
      </w:tabs>
      <w:outlineLvl w:val="4"/>
    </w:pPr>
  </w:style>
  <w:style w:type="paragraph" w:customStyle="1" w:styleId="48">
    <w:name w:val="二级条标题"/>
    <w:basedOn w:val="1"/>
    <w:next w:val="23"/>
    <w:qFormat/>
    <w:uiPriority w:val="0"/>
    <w:pPr>
      <w:widowControl/>
      <w:tabs>
        <w:tab w:val="left" w:pos="360"/>
      </w:tabs>
      <w:spacing w:before="50" w:after="50"/>
      <w:jc w:val="left"/>
      <w:outlineLvl w:val="3"/>
    </w:pPr>
    <w:rPr>
      <w:rFonts w:hint="eastAsia" w:ascii="黑体" w:eastAsia="黑体"/>
    </w:rPr>
  </w:style>
  <w:style w:type="paragraph" w:customStyle="1" w:styleId="49">
    <w:name w:val="目录 51"/>
    <w:basedOn w:val="1"/>
    <w:next w:val="1"/>
    <w:qFormat/>
    <w:uiPriority w:val="39"/>
    <w:pPr>
      <w:ind w:left="1680" w:leftChars="800"/>
    </w:pPr>
  </w:style>
  <w:style w:type="paragraph" w:customStyle="1" w:styleId="50">
    <w:name w:val="目录 41"/>
    <w:basedOn w:val="1"/>
    <w:next w:val="1"/>
    <w:qFormat/>
    <w:uiPriority w:val="39"/>
    <w:pPr>
      <w:ind w:left="1260" w:leftChars="600"/>
    </w:pPr>
  </w:style>
  <w:style w:type="paragraph" w:customStyle="1" w:styleId="51">
    <w:name w:val="列出段落"/>
    <w:basedOn w:val="1"/>
    <w:qFormat/>
    <w:uiPriority w:val="99"/>
    <w:pPr>
      <w:ind w:firstLine="420" w:firstLineChars="200"/>
    </w:pPr>
    <w:rPr>
      <w:rFonts w:cs="Times New Roman"/>
    </w:rPr>
  </w:style>
  <w:style w:type="paragraph" w:customStyle="1" w:styleId="52">
    <w:name w:val="附录标识"/>
    <w:basedOn w:val="1"/>
    <w:next w:val="23"/>
    <w:qFormat/>
    <w:uiPriority w:val="0"/>
    <w:pPr>
      <w:keepNext/>
      <w:widowControl/>
      <w:numPr>
        <w:ilvl w:val="0"/>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53">
    <w:name w:val="三级无"/>
    <w:qFormat/>
    <w:uiPriority w:val="0"/>
    <w:rPr>
      <w:rFonts w:hint="eastAsia" w:ascii="宋体" w:hAnsi="Times New Roman" w:eastAsia="宋体" w:cs="Times New Roman"/>
      <w:lang w:val="en-US" w:eastAsia="zh-CN" w:bidi="ar-SA"/>
    </w:rPr>
  </w:style>
  <w:style w:type="paragraph" w:customStyle="1" w:styleId="54">
    <w:name w:val="附录五级条标题"/>
    <w:basedOn w:val="34"/>
    <w:next w:val="1"/>
    <w:qFormat/>
    <w:uiPriority w:val="0"/>
    <w:pPr>
      <w:outlineLvl w:val="6"/>
    </w:pPr>
  </w:style>
  <w:style w:type="paragraph" w:customStyle="1" w:styleId="5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6">
    <w:name w:val="目录 11"/>
    <w:basedOn w:val="1"/>
    <w:next w:val="1"/>
    <w:unhideWhenUsed/>
    <w:qFormat/>
    <w:uiPriority w:val="39"/>
    <w:pPr>
      <w:widowControl/>
      <w:spacing w:after="100" w:line="259" w:lineRule="auto"/>
      <w:jc w:val="left"/>
    </w:pPr>
    <w:rPr>
      <w:rFonts w:ascii="等线" w:hAnsi="等线" w:eastAsia="等线" w:cs="Times New Roman"/>
      <w:kern w:val="0"/>
      <w:sz w:val="22"/>
    </w:rPr>
  </w:style>
  <w:style w:type="paragraph" w:customStyle="1" w:styleId="57">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8">
    <w:name w:val="TOC 标题1"/>
    <w:basedOn w:val="2"/>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59">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6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1">
    <w:name w:val="一级条标题"/>
    <w:next w:val="23"/>
    <w:qFormat/>
    <w:uiPriority w:val="0"/>
    <w:pPr>
      <w:numPr>
        <w:ilvl w:val="1"/>
        <w:numId w:val="4"/>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2">
    <w:name w:val="五级条标题"/>
    <w:basedOn w:val="46"/>
    <w:next w:val="1"/>
    <w:qFormat/>
    <w:uiPriority w:val="0"/>
    <w:pPr>
      <w:ind w:left="0"/>
      <w:outlineLvl w:val="6"/>
    </w:pPr>
  </w:style>
  <w:style w:type="paragraph" w:customStyle="1" w:styleId="63">
    <w:name w:val="附录一级无"/>
    <w:basedOn w:val="43"/>
    <w:qFormat/>
    <w:uiPriority w:val="0"/>
    <w:pPr>
      <w:spacing w:before="0" w:beforeLines="0" w:after="0" w:afterLines="0"/>
    </w:pPr>
    <w:rPr>
      <w:rFonts w:ascii="宋体"/>
      <w:szCs w:val="21"/>
    </w:rPr>
  </w:style>
  <w:style w:type="paragraph" w:customStyle="1" w:styleId="6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5">
    <w:name w:val="附录二级无"/>
    <w:basedOn w:val="36"/>
    <w:qFormat/>
    <w:uiPriority w:val="0"/>
    <w:pPr>
      <w:tabs>
        <w:tab w:val="clear" w:pos="360"/>
      </w:tabs>
      <w:spacing w:before="0" w:beforeLines="0" w:after="0" w:afterLines="0"/>
    </w:pPr>
    <w:rPr>
      <w:rFonts w:ascii="宋体" w:eastAsia="宋体"/>
      <w:szCs w:val="21"/>
    </w:rPr>
  </w:style>
  <w:style w:type="paragraph" w:customStyle="1" w:styleId="66">
    <w:name w:val="二级无"/>
    <w:qFormat/>
    <w:uiPriority w:val="0"/>
    <w:rPr>
      <w:rFonts w:ascii="宋体" w:hAnsi="Times New Roman" w:eastAsia="宋体" w:cs="Times New Roman"/>
      <w:lang w:val="en-US" w:eastAsia="zh-CN" w:bidi="ar-SA"/>
    </w:rPr>
  </w:style>
  <w:style w:type="paragraph" w:styleId="67">
    <w:name w:val="List Paragraph"/>
    <w:basedOn w:val="1"/>
    <w:qFormat/>
    <w:uiPriority w:val="99"/>
    <w:pPr>
      <w:ind w:firstLine="420" w:firstLineChars="200"/>
    </w:pPr>
  </w:style>
  <w:style w:type="paragraph" w:customStyle="1" w:styleId="68">
    <w:name w:val="Revision"/>
    <w:hidden/>
    <w:unhideWhenUsed/>
    <w:qFormat/>
    <w:uiPriority w:val="99"/>
    <w:rPr>
      <w:rFonts w:ascii="Times New Roman" w:hAnsi="Times New Roman"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683</Words>
  <Characters>3894</Characters>
  <Lines>32</Lines>
  <Paragraphs>9</Paragraphs>
  <TotalTime>1</TotalTime>
  <ScaleCrop>false</ScaleCrop>
  <LinksUpToDate>false</LinksUpToDate>
  <CharactersWithSpaces>4568</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2023-11-28T18:03:00Z</dcterms:created>
  <dc:creator>仕豪 王</dc:creator>
  <cp:lastModifiedBy>Wanting</cp:lastModifiedBy>
  <cp:lastPrinted>2016-05-07T13:02:00Z</cp:lastPrinted>
  <dcterms:modified xsi:type="dcterms:W3CDTF">2023-11-29T09:27:21Z</dcterms:modified>
  <dc:title>user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045E70049E7E654DC9715C6554E8E6B4</vt:lpwstr>
  </property>
</Properties>
</file>