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763" w:type="dxa"/>
        <w:tblInd w:w="95" w:type="dxa"/>
        <w:tblLayout w:type="autofit"/>
        <w:tblCellMar>
          <w:top w:w="0" w:type="dxa"/>
          <w:left w:w="108" w:type="dxa"/>
          <w:bottom w:w="0" w:type="dxa"/>
          <w:right w:w="108" w:type="dxa"/>
        </w:tblCellMar>
      </w:tblPr>
      <w:tblGrid>
        <w:gridCol w:w="864"/>
        <w:gridCol w:w="5386"/>
        <w:gridCol w:w="1102"/>
        <w:gridCol w:w="2127"/>
        <w:gridCol w:w="4284"/>
      </w:tblGrid>
      <w:tr>
        <w:tblPrEx>
          <w:tblCellMar>
            <w:top w:w="0" w:type="dxa"/>
            <w:left w:w="108" w:type="dxa"/>
            <w:bottom w:w="0" w:type="dxa"/>
            <w:right w:w="108" w:type="dxa"/>
          </w:tblCellMar>
        </w:tblPrEx>
        <w:trPr>
          <w:trHeight w:val="450" w:hRule="atLeast"/>
        </w:trPr>
        <w:tc>
          <w:tcPr>
            <w:tcW w:w="13763" w:type="dxa"/>
            <w:gridSpan w:val="5"/>
            <w:tcBorders>
              <w:top w:val="nil"/>
              <w:left w:val="nil"/>
              <w:bottom w:val="nil"/>
            </w:tcBorders>
            <w:shd w:val="clear" w:color="000000" w:fill="FFFFFF"/>
            <w:noWrap/>
            <w:vAlign w:val="center"/>
          </w:tcPr>
          <w:p>
            <w:pPr>
              <w:widowControl/>
              <w:spacing w:after="240"/>
              <w:jc w:val="left"/>
              <w:rPr>
                <w:rFonts w:ascii="Times New Roman" w:hAnsi="Times New Roman" w:eastAsia="黑体"/>
                <w:color w:val="000000"/>
                <w:kern w:val="0"/>
                <w:sz w:val="36"/>
                <w:szCs w:val="36"/>
              </w:rPr>
            </w:pPr>
            <w:r>
              <w:rPr>
                <w:rFonts w:ascii="Times New Roman" w:hAnsi="黑体" w:eastAsia="黑体"/>
                <w:color w:val="000000"/>
                <w:kern w:val="0"/>
                <w:sz w:val="36"/>
                <w:szCs w:val="36"/>
              </w:rPr>
              <w:t>附件</w:t>
            </w:r>
            <w:r>
              <w:rPr>
                <w:rFonts w:ascii="Times New Roman" w:hAnsi="Times New Roman" w:eastAsia="黑体"/>
                <w:color w:val="000000"/>
                <w:kern w:val="0"/>
                <w:sz w:val="36"/>
                <w:szCs w:val="36"/>
              </w:rPr>
              <w:t>3</w:t>
            </w:r>
            <w:r>
              <w:rPr>
                <w:rFonts w:ascii="Times New Roman" w:hAnsi="宋体"/>
                <w:color w:val="000000"/>
                <w:kern w:val="0"/>
                <w:sz w:val="22"/>
                <w:szCs w:val="22"/>
              </w:rPr>
              <w:t>　</w:t>
            </w:r>
          </w:p>
        </w:tc>
      </w:tr>
      <w:tr>
        <w:tblPrEx>
          <w:tblCellMar>
            <w:top w:w="0" w:type="dxa"/>
            <w:left w:w="108" w:type="dxa"/>
            <w:bottom w:w="0" w:type="dxa"/>
            <w:right w:w="108" w:type="dxa"/>
          </w:tblCellMar>
        </w:tblPrEx>
        <w:trPr>
          <w:trHeight w:val="630" w:hRule="atLeast"/>
        </w:trPr>
        <w:tc>
          <w:tcPr>
            <w:tcW w:w="13763" w:type="dxa"/>
            <w:gridSpan w:val="5"/>
            <w:tcBorders>
              <w:top w:val="nil"/>
              <w:left w:val="nil"/>
              <w:bottom w:val="single" w:color="auto" w:sz="4" w:space="0"/>
              <w:right w:val="nil"/>
            </w:tcBorders>
            <w:shd w:val="clear" w:color="000000" w:fill="FFFFFF"/>
            <w:noWrap/>
            <w:vAlign w:val="center"/>
          </w:tcPr>
          <w:p>
            <w:pPr>
              <w:widowControl/>
              <w:spacing w:after="240"/>
              <w:jc w:val="center"/>
              <w:rPr>
                <w:rFonts w:ascii="Times New Roman" w:hAnsi="Times New Roman" w:eastAsia="方正小标宋简体"/>
                <w:color w:val="000000"/>
                <w:kern w:val="0"/>
                <w:sz w:val="48"/>
                <w:szCs w:val="48"/>
              </w:rPr>
            </w:pPr>
            <w:r>
              <w:rPr>
                <w:rFonts w:ascii="Times New Roman" w:hAnsi="Times New Roman" w:eastAsia="方正小标宋简体"/>
                <w:color w:val="000000"/>
                <w:kern w:val="0"/>
                <w:sz w:val="40"/>
                <w:szCs w:val="48"/>
              </w:rPr>
              <w:t>中国水产学会第十一次全国会员代表大会代表及第十一届理事会理事候选人名额分配表</w:t>
            </w:r>
          </w:p>
        </w:tc>
      </w:tr>
      <w:tr>
        <w:tblPrEx>
          <w:tblCellMar>
            <w:top w:w="0" w:type="dxa"/>
            <w:left w:w="108" w:type="dxa"/>
            <w:bottom w:w="0" w:type="dxa"/>
            <w:right w:w="108" w:type="dxa"/>
          </w:tblCellMar>
        </w:tblPrEx>
        <w:trPr>
          <w:trHeight w:val="93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eastAsia="黑体"/>
                <w:color w:val="000000"/>
                <w:kern w:val="0"/>
                <w:sz w:val="32"/>
                <w:szCs w:val="36"/>
              </w:rPr>
            </w:pPr>
            <w:r>
              <w:rPr>
                <w:rFonts w:ascii="Times New Roman" w:hAnsi="黑体" w:eastAsia="黑体"/>
                <w:color w:val="000000"/>
                <w:kern w:val="0"/>
                <w:sz w:val="32"/>
                <w:szCs w:val="36"/>
              </w:rPr>
              <w:t>序号</w:t>
            </w:r>
          </w:p>
        </w:tc>
        <w:tc>
          <w:tcPr>
            <w:tcW w:w="5386"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eastAsia="黑体"/>
                <w:color w:val="000000"/>
                <w:kern w:val="0"/>
                <w:sz w:val="32"/>
                <w:szCs w:val="36"/>
              </w:rPr>
            </w:pPr>
            <w:r>
              <w:rPr>
                <w:rFonts w:ascii="Times New Roman" w:hAnsi="黑体" w:eastAsia="黑体"/>
                <w:color w:val="000000"/>
                <w:kern w:val="0"/>
                <w:sz w:val="32"/>
                <w:szCs w:val="36"/>
              </w:rPr>
              <w:t>推选单位</w:t>
            </w:r>
          </w:p>
        </w:tc>
        <w:tc>
          <w:tcPr>
            <w:tcW w:w="1102"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eastAsia="黑体"/>
                <w:color w:val="000000"/>
                <w:kern w:val="0"/>
                <w:sz w:val="32"/>
                <w:szCs w:val="36"/>
              </w:rPr>
            </w:pPr>
            <w:r>
              <w:rPr>
                <w:rFonts w:ascii="Times New Roman" w:hAnsi="黑体" w:eastAsia="黑体"/>
                <w:color w:val="000000"/>
                <w:kern w:val="0"/>
                <w:sz w:val="32"/>
                <w:szCs w:val="36"/>
              </w:rPr>
              <w:t>代表</w:t>
            </w:r>
            <w:r>
              <w:rPr>
                <w:rFonts w:ascii="Times New Roman" w:hAnsi="Times New Roman" w:eastAsia="黑体"/>
                <w:color w:val="000000"/>
                <w:kern w:val="0"/>
                <w:sz w:val="32"/>
                <w:szCs w:val="36"/>
              </w:rPr>
              <w:br w:type="textWrapping"/>
            </w:r>
            <w:r>
              <w:rPr>
                <w:rFonts w:ascii="Times New Roman" w:hAnsi="黑体" w:eastAsia="黑体"/>
                <w:color w:val="000000"/>
                <w:kern w:val="0"/>
                <w:sz w:val="32"/>
                <w:szCs w:val="36"/>
              </w:rPr>
              <w:t>名额</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eastAsia="黑体"/>
                <w:color w:val="000000"/>
                <w:kern w:val="0"/>
                <w:sz w:val="32"/>
                <w:szCs w:val="36"/>
              </w:rPr>
            </w:pPr>
            <w:r>
              <w:rPr>
                <w:rFonts w:ascii="Times New Roman" w:hAnsi="黑体" w:eastAsia="黑体"/>
                <w:color w:val="000000"/>
                <w:kern w:val="0"/>
                <w:sz w:val="32"/>
                <w:szCs w:val="36"/>
              </w:rPr>
              <w:t>理事候选人</w:t>
            </w:r>
            <w:r>
              <w:rPr>
                <w:rFonts w:ascii="Times New Roman" w:hAnsi="Times New Roman" w:eastAsia="黑体"/>
                <w:color w:val="000000"/>
                <w:kern w:val="0"/>
                <w:sz w:val="32"/>
                <w:szCs w:val="36"/>
              </w:rPr>
              <w:br w:type="textWrapping"/>
            </w:r>
            <w:r>
              <w:rPr>
                <w:rFonts w:ascii="Times New Roman" w:hAnsi="黑体" w:eastAsia="黑体"/>
                <w:color w:val="000000"/>
                <w:kern w:val="0"/>
                <w:sz w:val="32"/>
                <w:szCs w:val="36"/>
              </w:rPr>
              <w:t>名额</w:t>
            </w:r>
          </w:p>
        </w:tc>
        <w:tc>
          <w:tcPr>
            <w:tcW w:w="428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eastAsia="黑体"/>
                <w:color w:val="000000"/>
                <w:kern w:val="0"/>
                <w:sz w:val="32"/>
                <w:szCs w:val="36"/>
              </w:rPr>
            </w:pPr>
            <w:r>
              <w:rPr>
                <w:rFonts w:ascii="Times New Roman" w:hAnsi="黑体" w:eastAsia="黑体"/>
                <w:color w:val="000000"/>
                <w:kern w:val="0"/>
                <w:sz w:val="32"/>
                <w:szCs w:val="36"/>
              </w:rPr>
              <w:t>备注</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农业农村部渔业渔政管理局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农业农村部长江流域渔政监督管理办公室</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农业农村部渔政保障中心</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中国水产科学研究院</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位理事候选人为王小虎院长</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全国水产技术推广总站、中国水产学会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4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位理事候选人为崔利锋站长、秘书长</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中国渔业协会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中国渔业互保协会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中国水产流通与加工协会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中国藻业协会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休闲垂钓协会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中国远洋渔业协会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中国渔船渔机渔具行业协会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中国农业出版社</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《中国渔业报》社有限公司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《中国水产》编辑部</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中国科学院海洋研究所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中国科学院水生生物研究所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位理事候选人为桂建芳院士</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中国科学院南海海洋研究所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水利部中国科学院水工程生态研究所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20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自然资源部第一海洋研究所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21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自然资源部第三海洋研究所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22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中国水产科学研究院黄海水产研究所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23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中国水产科学研究院东海水产研究所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24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中国水产科学研究院南海水产研究所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25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中国水产科学研究院黑龙江水产研究所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26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中国水产科学研究院长江水产研究所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27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中国水产科学研究院珠江水产研究所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28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中国水产科学研究院渔业机械仪器研究所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29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中国水产科学研究院淡水渔业研究中心</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30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中国水产科学研究院渔业工程研究所</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31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北京水产学会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32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天津市水产学会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33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河北省水产学会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34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山西省水产学会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35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内蒙古水产学会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36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辽宁省水产学会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37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吉林省水产学会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38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黑龙江省水产学会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39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上海市水产学会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40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江苏省水产学会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4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位理事候选人从江苏省渔业技术推广中心产生</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41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浙江省水产学会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4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位理事候选人为浙江省水产技术推广总站丁雪燕站长</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42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安徽省水产学会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43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福建省水产学会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4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位理事候选人从福建省水产技术推广总站产生</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44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江西省水产学会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45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山东水产学会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4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位理事候选人从山东省渔业发展和资源养护总站产生</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46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河南省水产学会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位理事候选人从河南省水产技术推广站产生</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47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湖北省水产学会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4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位理事候选人从湖北省水产技术推广总站产生</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48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湖南省水产学会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4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位理事候选人从湖南省畜牧水产事务中心渔业发展部产生</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49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广东水产学会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4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位理事候选人从广东省农业技术推广中心产生</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50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广西水产学会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4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位理事候选人从广西壮族自治区水产技术推广站产生</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51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海南省水产学会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52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四川省水产学会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4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位理事候选人从四川省水产局科技推广处产生</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53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重庆市水产学会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4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位理事候选人从重庆市水产技术推广总站产生</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54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贵州省水产学会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位理事候选人从贵州省水产技术推广站产生</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55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云南省水产学会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56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陕西省水产学会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57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甘肃省水产学会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58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青海省水产学会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59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宁夏水产学会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位理事候选人从宁夏回族自治区水产技术推广站产生</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60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新疆维吾尔自治区水产学会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61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西藏自治区水产学会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62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青岛市水产学会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63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宁波市海洋与水产学会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64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厦门市海洋与水产学会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65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深圳市水产学会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66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上海海洋大学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位理事候选人为万荣校长</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67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中国海洋大学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位理事候选人为包振民院士</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68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大连海洋大学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位理事候选人为宋林生校长</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69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广东海洋大学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宋体"/>
                <w:color w:val="000000"/>
                <w:kern w:val="0"/>
                <w:sz w:val="28"/>
                <w:szCs w:val="28"/>
              </w:rPr>
              <w:t>建议其中</w:t>
            </w:r>
            <w:r>
              <w:rPr>
                <w:rFonts w:ascii="Times New Roman" w:hAnsi="Times New Roman"/>
                <w:color w:val="000000"/>
                <w:kern w:val="0"/>
                <w:sz w:val="28"/>
                <w:szCs w:val="28"/>
              </w:rPr>
              <w:t>1</w:t>
            </w:r>
            <w:r>
              <w:rPr>
                <w:rFonts w:ascii="Times New Roman" w:hAnsi="宋体"/>
                <w:color w:val="000000"/>
                <w:kern w:val="0"/>
                <w:sz w:val="28"/>
                <w:szCs w:val="28"/>
              </w:rPr>
              <w:t>位理事候选人为谭北平副校长</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70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浙江海洋大学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71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江苏海洋大学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72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中国农业大学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73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宋体"/>
                <w:color w:val="000000"/>
                <w:kern w:val="0"/>
                <w:sz w:val="28"/>
                <w:szCs w:val="28"/>
              </w:rPr>
              <w:t>华中农业大学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74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华南农业大学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75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仲恺农业工程学院</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76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华东师范大学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77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河南师范大学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78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湖南师范大学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建议其中1位理事候选人为刘少军院士</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79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湖州师范学院</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80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浙江万里学院</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81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西北农林科技大学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82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湖南文理学院</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83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集美大学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建议其中1位理事候选人为谢潮添副校长</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84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浙江大学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85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宁波大学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86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中山大学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87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西南大学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88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海南大学</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89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北京市水生野生动植物救护中心</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90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北京海洋馆</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91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北京工体富国海底世界</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92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宁波神凤海洋世界有限公司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877"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93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通威股份有限公司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建议其中1位理事候选人为张璐副总裁</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bookmarkStart w:id="0" w:name="_GoBack"/>
            <w:bookmarkEnd w:id="0"/>
            <w:r>
              <w:rPr>
                <w:rFonts w:ascii="Times New Roman" w:hAnsi="Times New Roman"/>
                <w:color w:val="000000"/>
                <w:kern w:val="0"/>
                <w:sz w:val="28"/>
                <w:szCs w:val="28"/>
              </w:rPr>
              <w:t>94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湛江国联水产开发股份有限公司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建议其中1位理事候选人为李忠董事长</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95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广州观星农业科技有限公司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96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广东温氏大华农生物科技有限公司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97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苏州捷安信息科技有限公司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98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海南宝路水产科技有限公司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99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湖南渔美康生物技术集团有限公司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100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山东宝来利来生物工程股份有限公司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101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陕西汉宝科技发展（集团）有限公司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102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大连汇新海洋科技发展有限公司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103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碧沃丰生物科技（广东）股份有限公司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104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福建天马科技集团股份有限公司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105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星光农机股份有限公司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106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武汉九州神农药业有限责任公司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107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运城晋鑫药业有限公司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108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新疆天蕴有机农业有限公司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109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杭州千岛湖鲟龙科技股份有限公司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110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上海峻鼎渔业科技有限公司</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111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淡水养殖分会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112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海水养殖分会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113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水产捕捞分会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114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渔业资源与环境分会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115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水产品加工和综合利用分会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建议其中一位理事候选人为薛长湖教授</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116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观赏鱼分会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117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渔业历史与文化分会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118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期刊分会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119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水产生物技术与遗传育种专业委员会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建议其中1位理事候选人为陈松林院士</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120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水产动物营养与饲料专业委员会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121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生物饵料专业委员会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122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鱼病专业委员会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123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渔药专业委员会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124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水产动物免疫学专业委员会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125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渔业装备专业委员会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126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渔业工程专业委员会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127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水产动物行为学专业委员会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128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海洋牧场专业委员会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129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冷水鱼专业委员会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130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鱼类工业化养殖专业委员会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131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盐碱水养殖专业委员会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132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渔业经济与政策专业委员会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133</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渔业信息化专业委员会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134</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科普工作委员会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135</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青年工作委员会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2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136</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科学道德与学术诚信工作委员会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137</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水产名词审定工作委员会</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55"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138</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《水产学报》与《Aquaculture and Fisheries》编辑部</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139</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《科学养鱼》编辑部</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140</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《海洋渔业》编辑部</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141</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十届理事会常务理事</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48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142</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特邀代表</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30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r>
        <w:tblPrEx>
          <w:tblCellMar>
            <w:top w:w="0" w:type="dxa"/>
            <w:left w:w="108" w:type="dxa"/>
            <w:bottom w:w="0" w:type="dxa"/>
            <w:right w:w="108" w:type="dxa"/>
          </w:tblCellMar>
        </w:tblPrEx>
        <w:trPr>
          <w:trHeight w:val="540" w:hRule="atLeast"/>
        </w:trPr>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　</w:t>
            </w:r>
          </w:p>
        </w:tc>
        <w:tc>
          <w:tcPr>
            <w:tcW w:w="53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rPr>
                <w:rFonts w:ascii="Times New Roman" w:hAnsi="Times New Roman"/>
                <w:color w:val="000000"/>
                <w:kern w:val="0"/>
                <w:sz w:val="28"/>
                <w:szCs w:val="28"/>
              </w:rPr>
            </w:pPr>
            <w:r>
              <w:rPr>
                <w:rFonts w:ascii="Times New Roman" w:hAnsi="Times New Roman"/>
                <w:color w:val="000000"/>
                <w:kern w:val="0"/>
                <w:sz w:val="28"/>
                <w:szCs w:val="28"/>
              </w:rPr>
              <w:t>合计</w:t>
            </w:r>
          </w:p>
        </w:tc>
        <w:tc>
          <w:tcPr>
            <w:tcW w:w="11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319 </w:t>
            </w:r>
          </w:p>
        </w:tc>
        <w:tc>
          <w:tcPr>
            <w:tcW w:w="21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imes New Roman" w:hAnsi="Times New Roman"/>
                <w:color w:val="000000"/>
                <w:kern w:val="0"/>
                <w:sz w:val="28"/>
                <w:szCs w:val="28"/>
              </w:rPr>
            </w:pPr>
            <w:r>
              <w:rPr>
                <w:rFonts w:ascii="Times New Roman" w:hAnsi="Times New Roman"/>
                <w:color w:val="000000"/>
                <w:kern w:val="0"/>
                <w:sz w:val="28"/>
                <w:szCs w:val="28"/>
              </w:rPr>
              <w:t xml:space="preserve">180 </w:t>
            </w:r>
          </w:p>
        </w:tc>
        <w:tc>
          <w:tcPr>
            <w:tcW w:w="42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Times New Roman" w:hAnsi="Times New Roman"/>
                <w:color w:val="000000"/>
                <w:kern w:val="0"/>
                <w:sz w:val="28"/>
                <w:szCs w:val="28"/>
              </w:rPr>
            </w:pPr>
            <w:r>
              <w:rPr>
                <w:rFonts w:ascii="Times New Roman" w:hAnsi="Times New Roman"/>
                <w:color w:val="000000"/>
                <w:kern w:val="0"/>
                <w:sz w:val="28"/>
                <w:szCs w:val="2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102DFB-F6BA-46F2-A18C-F9AB48556D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1749C7D-6A7A-4EE2-9346-C00C99B2C16B}"/>
  </w:font>
  <w:font w:name="方正小标宋简体">
    <w:panose1 w:val="02000000000000000000"/>
    <w:charset w:val="86"/>
    <w:family w:val="script"/>
    <w:pitch w:val="default"/>
    <w:sig w:usb0="00000001" w:usb1="080E0000" w:usb2="00000000" w:usb3="00000000" w:csb0="00040000" w:csb1="00000000"/>
    <w:embedRegular r:id="rId3" w:fontKey="{FE70C1DC-6349-4D0F-A127-50A4C05D4C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YmI0ZDY1ZDA5OTJjZTdkYWE5NmNiMjRmMzdiNTcifQ=="/>
  </w:docVars>
  <w:rsids>
    <w:rsidRoot w:val="138A12AE"/>
    <w:rsid w:val="138A12AE"/>
    <w:rsid w:val="1F1E7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1661</Words>
  <Characters>1745</Characters>
  <Lines>0</Lines>
  <Paragraphs>0</Paragraphs>
  <TotalTime>0</TotalTime>
  <ScaleCrop>false</ScaleCrop>
  <LinksUpToDate>false</LinksUpToDate>
  <CharactersWithSpaces>2002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2022-06-30T08:52:00Z</dcterms:created>
  <dc:creator>Jocelyn</dc:creator>
  <cp:lastModifiedBy>Jocelyn</cp:lastModifiedBy>
  <dcterms:modified xsi:type="dcterms:W3CDTF">2022-07-11T00:32:52Z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57DF0F5267C547F6A937FF0D019D8775</vt:lpwstr>
  </property>
</Properties>
</file>