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ACC6" w14:textId="77777777" w:rsidR="00D24AFF" w:rsidRPr="0015797B" w:rsidRDefault="00CC54D4" w:rsidP="0015797B">
      <w:pPr>
        <w:spacing w:line="600" w:lineRule="exact"/>
        <w:jc w:val="center"/>
        <w:rPr>
          <w:rFonts w:ascii="方正小标宋简体" w:eastAsia="方正小标宋简体"/>
          <w:bCs/>
          <w:color w:val="000000"/>
          <w:spacing w:val="-12"/>
          <w:sz w:val="44"/>
          <w:szCs w:val="44"/>
        </w:rPr>
      </w:pPr>
      <w:r w:rsidRPr="0015797B">
        <w:rPr>
          <w:rFonts w:ascii="方正小标宋简体" w:eastAsia="方正小标宋简体" w:hint="eastAsia"/>
          <w:bCs/>
          <w:color w:val="000000"/>
          <w:sz w:val="44"/>
          <w:szCs w:val="44"/>
        </w:rPr>
        <w:t>关于印发</w:t>
      </w:r>
      <w:proofErr w:type="gramStart"/>
      <w:r w:rsidRPr="0015797B">
        <w:rPr>
          <w:rFonts w:ascii="方正小标宋简体" w:eastAsia="方正小标宋简体" w:hAnsi="Times New Roman" w:hint="eastAsia"/>
          <w:bCs/>
          <w:color w:val="000000"/>
          <w:sz w:val="44"/>
          <w:szCs w:val="44"/>
        </w:rPr>
        <w:t>《</w:t>
      </w:r>
      <w:proofErr w:type="gramEnd"/>
      <w:r w:rsidRPr="0015797B">
        <w:rPr>
          <w:rFonts w:ascii="方正小标宋简体" w:eastAsia="方正小标宋简体" w:hint="eastAsia"/>
          <w:bCs/>
          <w:color w:val="000000"/>
          <w:spacing w:val="-12"/>
          <w:sz w:val="44"/>
          <w:szCs w:val="44"/>
        </w:rPr>
        <w:t>中国水产学会</w:t>
      </w:r>
    </w:p>
    <w:p w14:paraId="51130EF5" w14:textId="77777777" w:rsidR="00D24AFF" w:rsidRPr="0015797B" w:rsidRDefault="00CC54D4" w:rsidP="0015797B">
      <w:pPr>
        <w:spacing w:line="600" w:lineRule="exact"/>
        <w:jc w:val="center"/>
        <w:rPr>
          <w:rFonts w:ascii="方正小标宋简体" w:eastAsia="方正小标宋简体"/>
          <w:bCs/>
          <w:color w:val="000000"/>
          <w:spacing w:val="-12"/>
          <w:sz w:val="44"/>
          <w:szCs w:val="44"/>
        </w:rPr>
      </w:pPr>
      <w:r w:rsidRPr="0015797B">
        <w:rPr>
          <w:rFonts w:ascii="方正小标宋简体" w:eastAsia="方正小标宋简体" w:hint="eastAsia"/>
          <w:bCs/>
          <w:color w:val="000000"/>
          <w:spacing w:val="-12"/>
          <w:sz w:val="44"/>
          <w:szCs w:val="44"/>
        </w:rPr>
        <w:t>年度优秀科技论文遴选办法</w:t>
      </w:r>
      <w:proofErr w:type="gramStart"/>
      <w:r w:rsidRPr="0015797B">
        <w:rPr>
          <w:rFonts w:ascii="方正小标宋简体" w:eastAsia="方正小标宋简体" w:hint="eastAsia"/>
          <w:bCs/>
          <w:color w:val="000000"/>
          <w:spacing w:val="-12"/>
          <w:sz w:val="44"/>
          <w:szCs w:val="44"/>
        </w:rPr>
        <w:t>》</w:t>
      </w:r>
      <w:proofErr w:type="gramEnd"/>
      <w:r w:rsidRPr="0015797B">
        <w:rPr>
          <w:rFonts w:ascii="方正小标宋简体" w:eastAsia="方正小标宋简体" w:hint="eastAsia"/>
          <w:bCs/>
          <w:color w:val="000000"/>
          <w:spacing w:val="-12"/>
          <w:sz w:val="44"/>
          <w:szCs w:val="44"/>
        </w:rPr>
        <w:t>的通知</w:t>
      </w:r>
    </w:p>
    <w:p w14:paraId="63319D7A" w14:textId="77777777" w:rsidR="00D24AFF" w:rsidRDefault="00D24AFF">
      <w:pPr>
        <w:jc w:val="left"/>
        <w:rPr>
          <w:rFonts w:ascii="仿宋_GB2312" w:eastAsia="仿宋_GB2312"/>
          <w:bCs/>
          <w:color w:val="000000"/>
          <w:spacing w:val="-12"/>
          <w:sz w:val="44"/>
          <w:szCs w:val="44"/>
        </w:rPr>
      </w:pPr>
    </w:p>
    <w:p w14:paraId="01732E4F" w14:textId="77777777" w:rsidR="00D24AFF" w:rsidRDefault="00CC54D4">
      <w:pPr>
        <w:rPr>
          <w:rFonts w:ascii="仿宋_GB2312" w:eastAsia="仿宋_GB2312"/>
          <w:bCs/>
          <w:color w:val="000000"/>
          <w:sz w:val="32"/>
          <w:szCs w:val="32"/>
        </w:rPr>
      </w:pPr>
      <w:r>
        <w:rPr>
          <w:rFonts w:ascii="仿宋_GB2312" w:eastAsia="仿宋_GB2312" w:hint="eastAsia"/>
          <w:bCs/>
          <w:color w:val="000000"/>
          <w:sz w:val="32"/>
          <w:szCs w:val="32"/>
        </w:rPr>
        <w:t>各有关单位：</w:t>
      </w:r>
    </w:p>
    <w:p w14:paraId="3AC45023" w14:textId="39B85705" w:rsidR="00D24AFF" w:rsidRDefault="0015797B">
      <w:pPr>
        <w:ind w:firstLineChars="200" w:firstLine="640"/>
        <w:rPr>
          <w:rFonts w:ascii="Times New Roman" w:eastAsia="仿宋_GB2312" w:hAnsi="Times New Roman"/>
          <w:color w:val="000000"/>
          <w:sz w:val="32"/>
          <w:szCs w:val="32"/>
        </w:rPr>
      </w:pPr>
      <w:r w:rsidRPr="0015797B">
        <w:rPr>
          <w:rFonts w:ascii="仿宋_GB2312" w:eastAsia="仿宋_GB2312" w:hint="eastAsia"/>
          <w:bCs/>
          <w:color w:val="000000"/>
          <w:sz w:val="32"/>
          <w:szCs w:val="32"/>
        </w:rPr>
        <w:t>为推动中国水产学会“世界一流水产科技期刊”品牌建设，提高办刊质量，提升学术影响，鼓励更多高水平学术成果在国内期刊首发，为水产科技工作者打造高端学术交流平台，根据《关于深化改革培育世界一流科技期刊的意见》、《关于进一步弘扬科学家精神加强作风和学风建设的意见》和《中国科协年度优秀科技论文遴选计划实施方案》</w:t>
      </w:r>
      <w:r w:rsidR="00CC54D4">
        <w:rPr>
          <w:rFonts w:ascii="仿宋_GB2312" w:eastAsia="仿宋_GB2312" w:hint="eastAsia"/>
          <w:bCs/>
          <w:color w:val="000000"/>
          <w:sz w:val="32"/>
          <w:szCs w:val="32"/>
        </w:rPr>
        <w:t>，结合水产学科领域实际情况，我会研究制定了《中国水产学会年度优秀科技论文遴选办法》（见附件）</w:t>
      </w:r>
      <w:r w:rsidR="00AE5453" w:rsidRPr="00AE5453">
        <w:rPr>
          <w:rFonts w:ascii="仿宋_GB2312" w:eastAsia="仿宋_GB2312"/>
          <w:bCs/>
          <w:color w:val="000000"/>
          <w:sz w:val="32"/>
          <w:szCs w:val="32"/>
        </w:rPr>
        <w:t>,</w:t>
      </w:r>
      <w:bookmarkStart w:id="0" w:name="_Hlk75270240"/>
      <w:r w:rsidR="00AE5453" w:rsidRPr="00AE5453">
        <w:rPr>
          <w:rFonts w:ascii="仿宋_GB2312" w:eastAsia="仿宋_GB2312"/>
          <w:bCs/>
          <w:color w:val="000000"/>
          <w:sz w:val="32"/>
          <w:szCs w:val="32"/>
        </w:rPr>
        <w:t>现予以公布施行。</w:t>
      </w:r>
    </w:p>
    <w:bookmarkEnd w:id="0"/>
    <w:p w14:paraId="1843147A" w14:textId="77777777" w:rsidR="00D24AFF" w:rsidRDefault="00D24AFF">
      <w:pPr>
        <w:ind w:firstLineChars="200" w:firstLine="640"/>
        <w:rPr>
          <w:rFonts w:ascii="Times New Roman" w:eastAsia="仿宋_GB2312" w:hAnsi="Times New Roman"/>
          <w:color w:val="000000"/>
          <w:sz w:val="32"/>
          <w:szCs w:val="32"/>
        </w:rPr>
      </w:pPr>
    </w:p>
    <w:p w14:paraId="60754F61" w14:textId="77777777" w:rsidR="00D24AFF" w:rsidRDefault="00CC54D4">
      <w:pPr>
        <w:ind w:firstLineChars="200" w:firstLine="640"/>
        <w:rPr>
          <w:rFonts w:ascii="仿宋_GB2312" w:eastAsia="仿宋_GB2312"/>
          <w:bCs/>
          <w:color w:val="000000"/>
          <w:spacing w:val="-12"/>
          <w:sz w:val="32"/>
          <w:szCs w:val="32"/>
        </w:rPr>
      </w:pPr>
      <w:r>
        <w:rPr>
          <w:rFonts w:ascii="Times New Roman" w:eastAsia="仿宋_GB2312" w:hAnsi="Times New Roman"/>
          <w:color w:val="000000"/>
          <w:sz w:val="32"/>
          <w:szCs w:val="32"/>
        </w:rPr>
        <w:t>附件：</w:t>
      </w:r>
      <w:r>
        <w:rPr>
          <w:rFonts w:ascii="Times New Roman" w:eastAsia="仿宋_GB2312" w:hAnsi="Times New Roman" w:hint="eastAsia"/>
          <w:color w:val="000000"/>
          <w:sz w:val="32"/>
          <w:szCs w:val="32"/>
        </w:rPr>
        <w:t>《</w:t>
      </w:r>
      <w:r>
        <w:rPr>
          <w:rFonts w:ascii="仿宋_GB2312" w:eastAsia="仿宋_GB2312" w:hint="eastAsia"/>
          <w:bCs/>
          <w:color w:val="000000"/>
          <w:spacing w:val="-12"/>
          <w:sz w:val="32"/>
          <w:szCs w:val="32"/>
        </w:rPr>
        <w:t>中国水产学会年度优秀科技论文遴选办法》（2021</w:t>
      </w:r>
    </w:p>
    <w:p w14:paraId="0F732BE2" w14:textId="77777777" w:rsidR="00D24AFF" w:rsidRDefault="00CC54D4">
      <w:pPr>
        <w:ind w:firstLineChars="500" w:firstLine="1480"/>
        <w:rPr>
          <w:rFonts w:ascii="仿宋_GB2312" w:eastAsia="仿宋_GB2312"/>
          <w:bCs/>
          <w:color w:val="000000"/>
          <w:spacing w:val="-12"/>
          <w:sz w:val="32"/>
          <w:szCs w:val="32"/>
        </w:rPr>
      </w:pPr>
      <w:r>
        <w:rPr>
          <w:rFonts w:ascii="仿宋_GB2312" w:eastAsia="仿宋_GB2312" w:hint="eastAsia"/>
          <w:bCs/>
          <w:color w:val="000000"/>
          <w:spacing w:val="-12"/>
          <w:sz w:val="32"/>
          <w:szCs w:val="32"/>
        </w:rPr>
        <w:t>年，十届九次常务理事会会议审议通过）</w:t>
      </w:r>
    </w:p>
    <w:p w14:paraId="5067494E" w14:textId="77777777" w:rsidR="00D24AFF" w:rsidRDefault="00D24AFF">
      <w:pPr>
        <w:ind w:firstLineChars="500" w:firstLine="1480"/>
        <w:rPr>
          <w:rFonts w:ascii="仿宋_GB2312" w:eastAsia="仿宋_GB2312"/>
          <w:bCs/>
          <w:color w:val="000000"/>
          <w:spacing w:val="-12"/>
          <w:sz w:val="32"/>
          <w:szCs w:val="32"/>
        </w:rPr>
      </w:pPr>
    </w:p>
    <w:p w14:paraId="257404C3" w14:textId="5F39E0CD" w:rsidR="00D24AFF" w:rsidRDefault="00D24AFF">
      <w:pPr>
        <w:ind w:firstLineChars="500" w:firstLine="1480"/>
        <w:rPr>
          <w:rFonts w:ascii="仿宋_GB2312" w:eastAsia="仿宋_GB2312"/>
          <w:bCs/>
          <w:color w:val="000000"/>
          <w:spacing w:val="-12"/>
          <w:sz w:val="32"/>
          <w:szCs w:val="32"/>
        </w:rPr>
      </w:pPr>
    </w:p>
    <w:p w14:paraId="4A7204AB" w14:textId="1329F90D" w:rsidR="0015797B" w:rsidRDefault="0015797B">
      <w:pPr>
        <w:ind w:firstLineChars="500" w:firstLine="1480"/>
        <w:rPr>
          <w:rFonts w:ascii="仿宋_GB2312" w:eastAsia="仿宋_GB2312"/>
          <w:bCs/>
          <w:color w:val="000000"/>
          <w:spacing w:val="-12"/>
          <w:sz w:val="32"/>
          <w:szCs w:val="32"/>
        </w:rPr>
      </w:pPr>
    </w:p>
    <w:p w14:paraId="4C4434E6" w14:textId="77777777" w:rsidR="0015797B" w:rsidRDefault="0015797B">
      <w:pPr>
        <w:ind w:firstLineChars="500" w:firstLine="1480"/>
        <w:rPr>
          <w:rFonts w:ascii="仿宋_GB2312" w:eastAsia="仿宋_GB2312"/>
          <w:bCs/>
          <w:color w:val="000000"/>
          <w:spacing w:val="-12"/>
          <w:sz w:val="32"/>
          <w:szCs w:val="32"/>
        </w:rPr>
      </w:pPr>
    </w:p>
    <w:p w14:paraId="10F42373" w14:textId="77777777" w:rsidR="00D24AFF" w:rsidRDefault="00CC54D4">
      <w:pPr>
        <w:ind w:firstLineChars="1900" w:firstLine="6080"/>
        <w:rPr>
          <w:rFonts w:ascii="仿宋_GB2312" w:eastAsia="仿宋_GB2312"/>
          <w:bCs/>
          <w:color w:val="000000"/>
          <w:sz w:val="32"/>
          <w:szCs w:val="32"/>
        </w:rPr>
      </w:pPr>
      <w:r>
        <w:rPr>
          <w:rFonts w:ascii="仿宋_GB2312" w:eastAsia="仿宋_GB2312" w:hint="eastAsia"/>
          <w:bCs/>
          <w:color w:val="000000"/>
          <w:sz w:val="32"/>
          <w:szCs w:val="32"/>
        </w:rPr>
        <w:t>中国水产学会</w:t>
      </w:r>
    </w:p>
    <w:p w14:paraId="01009CE4" w14:textId="763A5EF3" w:rsidR="00D24AFF" w:rsidRDefault="00CC54D4">
      <w:pPr>
        <w:ind w:firstLineChars="1900" w:firstLine="6080"/>
        <w:rPr>
          <w:rFonts w:ascii="仿宋_GB2312" w:eastAsia="仿宋_GB2312"/>
          <w:bCs/>
          <w:color w:val="000000"/>
          <w:sz w:val="32"/>
          <w:szCs w:val="32"/>
        </w:rPr>
        <w:sectPr w:rsidR="00D24AFF">
          <w:pgSz w:w="11906" w:h="16838"/>
          <w:pgMar w:top="1440" w:right="1800" w:bottom="1440" w:left="1800" w:header="851" w:footer="992" w:gutter="0"/>
          <w:cols w:space="425"/>
          <w:docGrid w:type="lines" w:linePitch="312"/>
        </w:sectPr>
      </w:pPr>
      <w:r>
        <w:rPr>
          <w:rFonts w:ascii="仿宋_GB2312" w:eastAsia="仿宋_GB2312" w:hint="eastAsia"/>
          <w:bCs/>
          <w:color w:val="000000"/>
          <w:sz w:val="32"/>
          <w:szCs w:val="32"/>
        </w:rPr>
        <w:t>2021年6月</w:t>
      </w:r>
      <w:r w:rsidR="00110E49">
        <w:rPr>
          <w:rFonts w:ascii="仿宋_GB2312" w:eastAsia="仿宋_GB2312"/>
          <w:bCs/>
          <w:color w:val="000000"/>
          <w:sz w:val="32"/>
          <w:szCs w:val="32"/>
        </w:rPr>
        <w:t>23</w:t>
      </w:r>
      <w:r>
        <w:rPr>
          <w:rFonts w:ascii="仿宋_GB2312" w:eastAsia="仿宋_GB2312" w:hint="eastAsia"/>
          <w:bCs/>
          <w:color w:val="000000"/>
          <w:sz w:val="32"/>
          <w:szCs w:val="32"/>
        </w:rPr>
        <w:t>日</w:t>
      </w:r>
    </w:p>
    <w:p w14:paraId="0F8F8D74" w14:textId="77777777" w:rsidR="00D24AFF" w:rsidRDefault="00CC54D4">
      <w:pPr>
        <w:jc w:val="left"/>
        <w:rPr>
          <w:rFonts w:ascii="黑体" w:eastAsia="黑体" w:hAnsi="黑体" w:cs="黑体"/>
          <w:bCs/>
          <w:color w:val="000000"/>
          <w:spacing w:val="-12"/>
          <w:sz w:val="32"/>
          <w:szCs w:val="32"/>
        </w:rPr>
      </w:pPr>
      <w:r>
        <w:rPr>
          <w:rFonts w:ascii="黑体" w:eastAsia="黑体" w:hAnsi="黑体" w:cs="黑体" w:hint="eastAsia"/>
          <w:bCs/>
          <w:color w:val="000000"/>
          <w:spacing w:val="-12"/>
          <w:sz w:val="32"/>
          <w:szCs w:val="32"/>
        </w:rPr>
        <w:lastRenderedPageBreak/>
        <w:t>附件</w:t>
      </w:r>
    </w:p>
    <w:p w14:paraId="11325E95" w14:textId="77777777" w:rsidR="00D24AFF" w:rsidRDefault="00D24AFF">
      <w:pPr>
        <w:jc w:val="left"/>
        <w:rPr>
          <w:rFonts w:ascii="黑体" w:eastAsia="黑体" w:hAnsi="黑体" w:cs="黑体"/>
          <w:bCs/>
          <w:color w:val="000000"/>
          <w:spacing w:val="-12"/>
          <w:sz w:val="32"/>
          <w:szCs w:val="32"/>
        </w:rPr>
      </w:pPr>
    </w:p>
    <w:p w14:paraId="54632506" w14:textId="77777777" w:rsidR="00D24AFF" w:rsidRDefault="00CC54D4">
      <w:pPr>
        <w:snapToGrid w:val="0"/>
        <w:spacing w:line="600" w:lineRule="exact"/>
        <w:jc w:val="center"/>
        <w:rPr>
          <w:rFonts w:ascii="方正小标宋简体" w:eastAsia="方正小标宋简体"/>
          <w:bCs/>
          <w:color w:val="000000"/>
          <w:sz w:val="44"/>
          <w:szCs w:val="44"/>
        </w:rPr>
      </w:pPr>
      <w:bookmarkStart w:id="1" w:name="_Hlk71291532"/>
      <w:r>
        <w:rPr>
          <w:rFonts w:ascii="方正小标宋简体" w:eastAsia="方正小标宋简体" w:hint="eastAsia"/>
          <w:bCs/>
          <w:color w:val="000000"/>
          <w:sz w:val="44"/>
          <w:szCs w:val="44"/>
        </w:rPr>
        <w:t>中国水产学会年度优秀科技论文遴选办法</w:t>
      </w:r>
      <w:bookmarkEnd w:id="1"/>
    </w:p>
    <w:p w14:paraId="7A9043C9" w14:textId="77777777" w:rsidR="00D24AFF" w:rsidRDefault="00CC54D4">
      <w:pPr>
        <w:widowControl w:val="0"/>
        <w:overflowPunct/>
        <w:autoSpaceDE/>
        <w:autoSpaceDN/>
        <w:adjustRightInd/>
        <w:snapToGrid w:val="0"/>
        <w:spacing w:beforeLines="50" w:before="156" w:afterLines="150" w:after="468" w:line="600" w:lineRule="exact"/>
        <w:jc w:val="center"/>
        <w:textAlignment w:val="auto"/>
        <w:rPr>
          <w:rFonts w:ascii="楷体_GB2312" w:eastAsia="楷体_GB2312"/>
          <w:bCs/>
          <w:color w:val="000000"/>
          <w:sz w:val="36"/>
          <w:szCs w:val="36"/>
        </w:rPr>
      </w:pPr>
      <w:r>
        <w:rPr>
          <w:rFonts w:ascii="楷体_GB2312" w:eastAsia="楷体_GB2312" w:hint="eastAsia"/>
          <w:bCs/>
          <w:color w:val="000000"/>
          <w:sz w:val="36"/>
          <w:szCs w:val="36"/>
        </w:rPr>
        <w:t>（2021年，十届九次常务理事会会议审议通过）</w:t>
      </w:r>
    </w:p>
    <w:p w14:paraId="0B856E0F" w14:textId="77777777" w:rsidR="00D24AFF" w:rsidRDefault="00CC54D4">
      <w:pPr>
        <w:snapToGrid w:val="0"/>
        <w:spacing w:beforeLines="50" w:before="156" w:afterLines="50" w:after="156" w:line="600" w:lineRule="exact"/>
        <w:jc w:val="center"/>
        <w:rPr>
          <w:rFonts w:ascii="黑体" w:eastAsia="黑体" w:hAnsi="黑体"/>
          <w:bCs/>
          <w:color w:val="000000"/>
          <w:sz w:val="32"/>
          <w:szCs w:val="32"/>
        </w:rPr>
      </w:pPr>
      <w:r>
        <w:rPr>
          <w:rFonts w:ascii="黑体" w:eastAsia="黑体" w:hAnsi="黑体" w:hint="eastAsia"/>
          <w:bCs/>
          <w:color w:val="000000"/>
          <w:sz w:val="32"/>
          <w:szCs w:val="32"/>
        </w:rPr>
        <w:t>第一章 总则</w:t>
      </w:r>
    </w:p>
    <w:p w14:paraId="18DBE8A1" w14:textId="77777777" w:rsidR="00D24AFF" w:rsidRDefault="00CC54D4">
      <w:pPr>
        <w:snapToGrid w:val="0"/>
        <w:spacing w:line="600" w:lineRule="exact"/>
        <w:ind w:firstLineChars="200" w:firstLine="640"/>
        <w:rPr>
          <w:rFonts w:ascii="仿宋_GB2312" w:eastAsia="仿宋_GB2312" w:hAnsi="仿宋_GB2312" w:cs="仿宋_GB2312"/>
          <w:sz w:val="32"/>
          <w:szCs w:val="32"/>
          <w:lang w:bidi="ar"/>
        </w:rPr>
      </w:pPr>
      <w:r>
        <w:rPr>
          <w:rFonts w:ascii="黑体" w:eastAsia="黑体" w:hAnsi="黑体" w:hint="eastAsia"/>
          <w:bCs/>
          <w:color w:val="000000"/>
          <w:sz w:val="32"/>
          <w:szCs w:val="32"/>
        </w:rPr>
        <w:t xml:space="preserve">第一条 </w:t>
      </w:r>
      <w:r>
        <w:rPr>
          <w:rFonts w:ascii="仿宋_GB2312" w:eastAsia="仿宋_GB2312" w:hint="eastAsia"/>
          <w:bCs/>
          <w:color w:val="000000"/>
          <w:sz w:val="32"/>
          <w:szCs w:val="32"/>
        </w:rPr>
        <w:t>为推动中国水产学会“世界一流水产科技期刊”品牌建设，提高办刊质量，提升学术影响，鼓励更多高水平学术成果在国内期刊首发，为水产科技工作者打造高端学术交流平台</w:t>
      </w:r>
      <w:r>
        <w:rPr>
          <w:rFonts w:ascii="仿宋_GB2312" w:eastAsia="仿宋_GB2312" w:hAnsi="仿宋_GB2312" w:cs="仿宋_GB2312" w:hint="eastAsia"/>
          <w:sz w:val="32"/>
          <w:szCs w:val="32"/>
          <w:lang w:bidi="ar"/>
        </w:rPr>
        <w:t>，</w:t>
      </w:r>
      <w:r>
        <w:rPr>
          <w:rFonts w:ascii="仿宋_GB2312" w:eastAsia="仿宋_GB2312" w:hint="eastAsia"/>
          <w:bCs/>
          <w:color w:val="000000"/>
          <w:sz w:val="32"/>
          <w:szCs w:val="32"/>
        </w:rPr>
        <w:t>根据《关于深化改革培育世界一流科技期刊的意见》、《关于进一步弘扬科学家精神加强作风和学风建设的意见》和《中国科协年度优秀科技论文遴选计划实施方案》，结合水产学科领域实际，制定本办法。</w:t>
      </w:r>
    </w:p>
    <w:p w14:paraId="47781E49"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t>第二条</w:t>
      </w:r>
      <w:r>
        <w:rPr>
          <w:rFonts w:ascii="仿宋_GB2312" w:eastAsia="仿宋_GB2312" w:hint="eastAsia"/>
          <w:bCs/>
          <w:color w:val="000000"/>
          <w:sz w:val="32"/>
          <w:szCs w:val="32"/>
        </w:rPr>
        <w:t xml:space="preserve"> 中国水产学会年度优秀科技论文遴选工作，主要包括申报推荐、专家评审，异议处理和结果公布等工作，由中国水产学会秘书处牵头组织，中国水产学会期刊分会配合实施，中国水产学会科学道德与学术诚信工作委员会参与监督，接受科学技术部、农业农村部、中国科协指导。</w:t>
      </w:r>
    </w:p>
    <w:p w14:paraId="662EC064"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t>第三条</w:t>
      </w:r>
      <w:r>
        <w:rPr>
          <w:rFonts w:ascii="仿宋_GB2312" w:eastAsia="仿宋_GB2312" w:hint="eastAsia"/>
          <w:bCs/>
          <w:color w:val="000000"/>
          <w:sz w:val="32"/>
          <w:szCs w:val="32"/>
        </w:rPr>
        <w:t xml:space="preserve"> 中国水产学会常务理事会是年度优秀科技论文遴选工作的决策管理机构，负责制定和修订遴选办法，审定遴选结果。</w:t>
      </w:r>
    </w:p>
    <w:p w14:paraId="2A97AF6B"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lastRenderedPageBreak/>
        <w:t>第四条</w:t>
      </w:r>
      <w:r>
        <w:rPr>
          <w:rFonts w:ascii="仿宋_GB2312" w:eastAsia="仿宋_GB2312" w:hint="eastAsia"/>
          <w:bCs/>
          <w:color w:val="000000"/>
          <w:sz w:val="32"/>
          <w:szCs w:val="32"/>
        </w:rPr>
        <w:t xml:space="preserve"> 中国水产学会成立年度优秀科技论文学科评审专家组和评审委员会，</w:t>
      </w:r>
      <w:r>
        <w:rPr>
          <w:rFonts w:ascii="仿宋_GB2312" w:eastAsia="仿宋_GB2312"/>
          <w:bCs/>
          <w:color w:val="000000"/>
          <w:sz w:val="32"/>
          <w:szCs w:val="32"/>
        </w:rPr>
        <w:t>负责评审</w:t>
      </w:r>
      <w:r>
        <w:rPr>
          <w:rFonts w:ascii="仿宋_GB2312" w:eastAsia="仿宋_GB2312" w:hint="eastAsia"/>
          <w:bCs/>
          <w:color w:val="000000"/>
          <w:sz w:val="32"/>
          <w:szCs w:val="32"/>
        </w:rPr>
        <w:t>年度优秀科技论文。根据推荐论文的学科特点，专家和委员从中国水产学会专家库中遴选产</w:t>
      </w:r>
      <w:r>
        <w:rPr>
          <w:rFonts w:ascii="仿宋_GB2312" w:eastAsia="仿宋_GB2312"/>
          <w:bCs/>
          <w:color w:val="000000"/>
          <w:sz w:val="32"/>
          <w:szCs w:val="32"/>
        </w:rPr>
        <w:t>生</w:t>
      </w:r>
      <w:r>
        <w:rPr>
          <w:rFonts w:ascii="仿宋_GB2312" w:eastAsia="仿宋_GB2312" w:hint="eastAsia"/>
          <w:bCs/>
          <w:color w:val="000000"/>
          <w:sz w:val="32"/>
          <w:szCs w:val="32"/>
        </w:rPr>
        <w:t>。</w:t>
      </w:r>
    </w:p>
    <w:p w14:paraId="183175B6"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t>第五条</w:t>
      </w:r>
      <w:r>
        <w:rPr>
          <w:rFonts w:ascii="仿宋_GB2312" w:eastAsia="仿宋_GB2312" w:hint="eastAsia"/>
          <w:bCs/>
          <w:color w:val="000000"/>
          <w:sz w:val="32"/>
          <w:szCs w:val="32"/>
        </w:rPr>
        <w:t xml:space="preserve"> 中国水产学会年度优秀科技论文具有推荐</w:t>
      </w:r>
      <w:r>
        <w:rPr>
          <w:rFonts w:ascii="仿宋_GB2312" w:eastAsia="仿宋_GB2312"/>
          <w:bCs/>
          <w:color w:val="000000"/>
          <w:sz w:val="32"/>
          <w:szCs w:val="32"/>
        </w:rPr>
        <w:t>中国科协优秀科技论文遴选计划</w:t>
      </w:r>
      <w:r>
        <w:rPr>
          <w:rFonts w:ascii="仿宋_GB2312" w:eastAsia="仿宋_GB2312" w:hint="eastAsia"/>
          <w:bCs/>
          <w:color w:val="000000"/>
          <w:sz w:val="32"/>
          <w:szCs w:val="32"/>
        </w:rPr>
        <w:t>的资格。</w:t>
      </w:r>
    </w:p>
    <w:p w14:paraId="3C7D98CA" w14:textId="77777777" w:rsidR="00D24AFF" w:rsidRDefault="00CC54D4">
      <w:pPr>
        <w:snapToGrid w:val="0"/>
        <w:spacing w:beforeLines="50" w:before="156" w:afterLines="50" w:after="156" w:line="600" w:lineRule="exact"/>
        <w:jc w:val="center"/>
        <w:rPr>
          <w:rFonts w:ascii="黑体" w:eastAsia="黑体" w:hAnsi="黑体"/>
          <w:bCs/>
          <w:color w:val="000000"/>
          <w:sz w:val="32"/>
          <w:szCs w:val="32"/>
        </w:rPr>
      </w:pPr>
      <w:r>
        <w:rPr>
          <w:rFonts w:ascii="黑体" w:eastAsia="黑体" w:hAnsi="黑体" w:hint="eastAsia"/>
          <w:bCs/>
          <w:color w:val="000000"/>
          <w:sz w:val="32"/>
          <w:szCs w:val="32"/>
        </w:rPr>
        <w:t>第二章 推荐范围和遴选数量</w:t>
      </w:r>
    </w:p>
    <w:p w14:paraId="395B56C6" w14:textId="77777777" w:rsidR="00D24AFF" w:rsidRDefault="00CC54D4">
      <w:pPr>
        <w:snapToGrid w:val="0"/>
        <w:spacing w:line="600" w:lineRule="exact"/>
        <w:ind w:firstLineChars="200" w:firstLine="640"/>
        <w:rPr>
          <w:rFonts w:eastAsia="仿宋_GB2312"/>
          <w:bCs/>
          <w:sz w:val="32"/>
          <w:szCs w:val="32"/>
        </w:rPr>
      </w:pPr>
      <w:r>
        <w:rPr>
          <w:rFonts w:ascii="黑体" w:eastAsia="黑体" w:hAnsi="黑体" w:hint="eastAsia"/>
          <w:bCs/>
          <w:color w:val="000000"/>
          <w:sz w:val="32"/>
          <w:szCs w:val="32"/>
        </w:rPr>
        <w:t xml:space="preserve">第六条 </w:t>
      </w:r>
      <w:r>
        <w:rPr>
          <w:rFonts w:ascii="仿宋_GB2312" w:eastAsia="仿宋_GB2312" w:hint="eastAsia"/>
          <w:bCs/>
          <w:color w:val="000000"/>
          <w:sz w:val="32"/>
          <w:szCs w:val="32"/>
        </w:rPr>
        <w:t>中国水产学会年度优秀科技论文</w:t>
      </w:r>
      <w:r>
        <w:rPr>
          <w:rFonts w:ascii="仿宋_GB2312" w:eastAsia="仿宋_GB2312" w:hint="eastAsia"/>
          <w:color w:val="000000"/>
          <w:sz w:val="32"/>
          <w:szCs w:val="32"/>
        </w:rPr>
        <w:t>推荐范围为：评选年度前</w:t>
      </w:r>
      <w:r>
        <w:rPr>
          <w:rFonts w:ascii="仿宋_GB2312" w:eastAsia="仿宋_GB2312"/>
          <w:color w:val="000000"/>
          <w:sz w:val="32"/>
          <w:szCs w:val="32"/>
        </w:rPr>
        <w:t>5</w:t>
      </w:r>
      <w:r>
        <w:rPr>
          <w:rFonts w:ascii="仿宋_GB2312" w:eastAsia="仿宋_GB2312" w:hint="eastAsia"/>
          <w:color w:val="000000"/>
          <w:sz w:val="32"/>
          <w:szCs w:val="32"/>
        </w:rPr>
        <w:t>年内，在</w:t>
      </w:r>
      <w:r>
        <w:rPr>
          <w:rFonts w:eastAsia="仿宋_GB2312" w:hint="eastAsia"/>
          <w:bCs/>
          <w:color w:val="000000"/>
          <w:sz w:val="32"/>
          <w:szCs w:val="32"/>
        </w:rPr>
        <w:t>中国水产学会期刊分会所属会员单位主办且正式出版、具有国内统一刊号（</w:t>
      </w:r>
      <w:r>
        <w:rPr>
          <w:rFonts w:ascii="仿宋_GB2312" w:eastAsia="仿宋_GB2312" w:hAnsi="仿宋_GB2312" w:cs="仿宋_GB2312" w:hint="eastAsia"/>
          <w:bCs/>
          <w:color w:val="000000"/>
          <w:sz w:val="32"/>
          <w:szCs w:val="32"/>
        </w:rPr>
        <w:t>CN</w:t>
      </w:r>
      <w:r>
        <w:rPr>
          <w:rFonts w:eastAsia="仿宋_GB2312" w:hint="eastAsia"/>
          <w:bCs/>
          <w:color w:val="000000"/>
          <w:sz w:val="32"/>
          <w:szCs w:val="32"/>
        </w:rPr>
        <w:t>）的科技期刊上首发的论文（不包括在增刊上发表的论文）。</w:t>
      </w:r>
      <w:r>
        <w:rPr>
          <w:rFonts w:eastAsia="仿宋_GB2312"/>
          <w:bCs/>
          <w:sz w:val="32"/>
          <w:szCs w:val="32"/>
        </w:rPr>
        <w:t>往届已入选论文不重复</w:t>
      </w:r>
      <w:r>
        <w:rPr>
          <w:rFonts w:eastAsia="仿宋_GB2312" w:hint="eastAsia"/>
          <w:bCs/>
          <w:sz w:val="32"/>
          <w:szCs w:val="32"/>
        </w:rPr>
        <w:t>推荐。</w:t>
      </w:r>
    </w:p>
    <w:p w14:paraId="001CB829"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第七条 </w:t>
      </w:r>
      <w:r>
        <w:rPr>
          <w:rFonts w:ascii="仿宋_GB2312" w:eastAsia="仿宋_GB2312" w:hint="eastAsia"/>
          <w:bCs/>
          <w:color w:val="000000"/>
          <w:sz w:val="32"/>
          <w:szCs w:val="32"/>
        </w:rPr>
        <w:t>中国水产学会年度</w:t>
      </w:r>
      <w:r>
        <w:rPr>
          <w:rFonts w:ascii="仿宋_GB2312" w:eastAsia="仿宋_GB2312" w:hint="eastAsia"/>
          <w:color w:val="000000"/>
          <w:sz w:val="32"/>
          <w:szCs w:val="32"/>
        </w:rPr>
        <w:t>优秀科技论文分为研究型论文和综述型论文两类。</w:t>
      </w:r>
    </w:p>
    <w:p w14:paraId="68D1A248"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（一）研究型论文</w:t>
      </w:r>
    </w:p>
    <w:p w14:paraId="4D4B967F"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在基础研究、应用基础研究或技术研究领域，对所在学科发展有重要影响或创新，能够开拓和引领学科发展；或在技术应用领域有重要应用价值，能够有效推动所在学科工程与技术进步。</w:t>
      </w:r>
    </w:p>
    <w:p w14:paraId="67D97567"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（二）综述型论文</w:t>
      </w:r>
    </w:p>
    <w:p w14:paraId="1C79E682"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仿宋_GB2312" w:eastAsia="仿宋_GB2312" w:hint="eastAsia"/>
          <w:bCs/>
          <w:color w:val="000000"/>
          <w:sz w:val="32"/>
          <w:szCs w:val="32"/>
        </w:rPr>
        <w:t>阐述某分支学科或重要专题的历史背景、研究现状、发展趋势，具有较高的情报学价值。</w:t>
      </w:r>
    </w:p>
    <w:p w14:paraId="0B8CC6E5"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lastRenderedPageBreak/>
        <w:t>第八条</w:t>
      </w:r>
      <w:r>
        <w:rPr>
          <w:rFonts w:ascii="仿宋_GB2312" w:eastAsia="仿宋_GB2312" w:hint="eastAsia"/>
          <w:color w:val="000000"/>
          <w:sz w:val="32"/>
          <w:szCs w:val="32"/>
        </w:rPr>
        <w:t xml:space="preserve"> </w:t>
      </w:r>
      <w:r>
        <w:rPr>
          <w:rFonts w:ascii="仿宋_GB2312" w:eastAsia="仿宋_GB2312" w:hint="eastAsia"/>
          <w:bCs/>
          <w:color w:val="000000"/>
          <w:sz w:val="32"/>
          <w:szCs w:val="32"/>
        </w:rPr>
        <w:t>中国水产学会年度</w:t>
      </w:r>
      <w:r>
        <w:rPr>
          <w:rFonts w:ascii="Times New Roman" w:eastAsia="仿宋_GB2312" w:hAnsi="Times New Roman" w:hint="eastAsia"/>
          <w:color w:val="000000"/>
          <w:sz w:val="32"/>
          <w:szCs w:val="32"/>
        </w:rPr>
        <w:t>优秀科技论文采用定额定标遴选，按照质量第一、宁缺毋滥的原则，每年度优秀科技论文不超过</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0</w:t>
      </w:r>
      <w:r>
        <w:rPr>
          <w:rFonts w:ascii="Times New Roman" w:eastAsia="仿宋_GB2312" w:hAnsi="Times New Roman" w:hint="eastAsia"/>
          <w:color w:val="000000"/>
          <w:sz w:val="32"/>
          <w:szCs w:val="32"/>
        </w:rPr>
        <w:t>篇，其中：</w:t>
      </w:r>
      <w:r>
        <w:rPr>
          <w:rFonts w:ascii="仿宋_GB2312" w:eastAsia="仿宋_GB2312" w:hint="eastAsia"/>
          <w:color w:val="000000"/>
          <w:sz w:val="32"/>
          <w:szCs w:val="32"/>
        </w:rPr>
        <w:t>研究型论文不超过</w:t>
      </w:r>
      <w:r>
        <w:rPr>
          <w:rFonts w:ascii="仿宋_GB2312" w:eastAsia="仿宋_GB2312"/>
          <w:color w:val="000000"/>
          <w:sz w:val="32"/>
          <w:szCs w:val="32"/>
        </w:rPr>
        <w:t>9</w:t>
      </w:r>
      <w:r>
        <w:rPr>
          <w:rFonts w:ascii="仿宋_GB2312" w:eastAsia="仿宋_GB2312" w:hint="eastAsia"/>
          <w:color w:val="000000"/>
          <w:sz w:val="32"/>
          <w:szCs w:val="32"/>
        </w:rPr>
        <w:t>篇、综述型论文不超过</w:t>
      </w:r>
      <w:r>
        <w:rPr>
          <w:rFonts w:ascii="仿宋_GB2312" w:eastAsia="仿宋_GB2312"/>
          <w:color w:val="000000"/>
          <w:sz w:val="32"/>
          <w:szCs w:val="32"/>
        </w:rPr>
        <w:t>1</w:t>
      </w:r>
      <w:r>
        <w:rPr>
          <w:rFonts w:ascii="仿宋_GB2312" w:eastAsia="仿宋_GB2312" w:hint="eastAsia"/>
          <w:color w:val="000000"/>
          <w:sz w:val="32"/>
          <w:szCs w:val="32"/>
        </w:rPr>
        <w:t>篇；</w:t>
      </w:r>
      <w:r>
        <w:rPr>
          <w:rFonts w:ascii="Times New Roman" w:eastAsia="仿宋_GB2312" w:hAnsi="Times New Roman" w:hint="eastAsia"/>
          <w:color w:val="000000"/>
          <w:sz w:val="32"/>
          <w:szCs w:val="32"/>
        </w:rPr>
        <w:t>每个类型论文的遴选数量原则上不超过该类型论文推荐数量的</w:t>
      </w:r>
      <w:r>
        <w:rPr>
          <w:rFonts w:ascii="Times New Roman" w:eastAsia="仿宋_GB2312" w:hAnsi="Times New Roman" w:hint="eastAsia"/>
          <w:color w:val="000000"/>
          <w:sz w:val="32"/>
          <w:szCs w:val="32"/>
        </w:rPr>
        <w:t>1</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w:t>
      </w:r>
    </w:p>
    <w:p w14:paraId="32B7057A" w14:textId="77777777" w:rsidR="00D24AFF" w:rsidRDefault="00CC54D4">
      <w:pPr>
        <w:snapToGrid w:val="0"/>
        <w:spacing w:beforeLines="50" w:before="156" w:afterLines="50" w:after="156" w:line="600" w:lineRule="exact"/>
        <w:jc w:val="center"/>
        <w:rPr>
          <w:rFonts w:ascii="黑体" w:eastAsia="黑体" w:hAnsi="黑体"/>
          <w:bCs/>
          <w:color w:val="000000"/>
          <w:sz w:val="32"/>
          <w:szCs w:val="32"/>
        </w:rPr>
      </w:pPr>
      <w:r>
        <w:rPr>
          <w:rFonts w:ascii="黑体" w:eastAsia="黑体" w:hAnsi="黑体" w:hint="eastAsia"/>
          <w:bCs/>
          <w:color w:val="000000"/>
          <w:sz w:val="32"/>
          <w:szCs w:val="32"/>
        </w:rPr>
        <w:t>第三章 推荐条件和推荐程序</w:t>
      </w:r>
    </w:p>
    <w:p w14:paraId="3259DB55"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第九条 </w:t>
      </w:r>
      <w:r>
        <w:rPr>
          <w:rFonts w:ascii="仿宋_GB2312" w:eastAsia="仿宋_GB2312" w:hint="eastAsia"/>
          <w:color w:val="000000"/>
          <w:sz w:val="32"/>
          <w:szCs w:val="32"/>
        </w:rPr>
        <w:t>每年3月3</w:t>
      </w:r>
      <w:r>
        <w:rPr>
          <w:rFonts w:ascii="仿宋_GB2312" w:eastAsia="仿宋_GB2312"/>
          <w:color w:val="000000"/>
          <w:sz w:val="32"/>
          <w:szCs w:val="32"/>
        </w:rPr>
        <w:t>1</w:t>
      </w:r>
      <w:r>
        <w:rPr>
          <w:rFonts w:ascii="仿宋_GB2312" w:eastAsia="仿宋_GB2312" w:hint="eastAsia"/>
          <w:color w:val="000000"/>
          <w:sz w:val="32"/>
          <w:szCs w:val="32"/>
        </w:rPr>
        <w:t>日前，中国水产学会秘书处发布遴选工作通知，启动推荐工作。</w:t>
      </w:r>
    </w:p>
    <w:p w14:paraId="3C4026B1"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第十条 </w:t>
      </w:r>
      <w:r>
        <w:rPr>
          <w:rFonts w:ascii="仿宋_GB2312" w:eastAsia="仿宋_GB2312" w:hint="eastAsia"/>
          <w:color w:val="000000"/>
          <w:sz w:val="32"/>
          <w:szCs w:val="32"/>
        </w:rPr>
        <w:t>中国水产学会期刊分会所属会员单位主办的科技期刊编辑部具有推荐资格（成为会员单位须两年及以上）。各单位的推荐名额由当年期刊分区情况确定，其中：Q</w:t>
      </w:r>
      <w:r>
        <w:rPr>
          <w:rFonts w:ascii="仿宋_GB2312" w:eastAsia="仿宋_GB2312"/>
          <w:color w:val="000000"/>
          <w:sz w:val="32"/>
          <w:szCs w:val="32"/>
        </w:rPr>
        <w:t>1</w:t>
      </w:r>
      <w:r>
        <w:rPr>
          <w:rFonts w:ascii="仿宋_GB2312" w:eastAsia="仿宋_GB2312" w:hint="eastAsia"/>
          <w:color w:val="000000"/>
          <w:sz w:val="32"/>
          <w:szCs w:val="32"/>
        </w:rPr>
        <w:t>区期刊可推荐5篇，Q</w:t>
      </w:r>
      <w:r>
        <w:rPr>
          <w:rFonts w:ascii="仿宋_GB2312" w:eastAsia="仿宋_GB2312"/>
          <w:color w:val="000000"/>
          <w:sz w:val="32"/>
          <w:szCs w:val="32"/>
        </w:rPr>
        <w:t>2</w:t>
      </w:r>
      <w:r>
        <w:rPr>
          <w:rFonts w:ascii="仿宋_GB2312" w:eastAsia="仿宋_GB2312" w:hint="eastAsia"/>
          <w:color w:val="000000"/>
          <w:sz w:val="32"/>
          <w:szCs w:val="32"/>
        </w:rPr>
        <w:t>区期刊可推荐</w:t>
      </w:r>
      <w:r>
        <w:rPr>
          <w:rFonts w:ascii="仿宋_GB2312" w:eastAsia="仿宋_GB2312"/>
          <w:color w:val="000000"/>
          <w:sz w:val="32"/>
          <w:szCs w:val="32"/>
        </w:rPr>
        <w:t>4</w:t>
      </w:r>
      <w:r>
        <w:rPr>
          <w:rFonts w:ascii="仿宋_GB2312" w:eastAsia="仿宋_GB2312" w:hint="eastAsia"/>
          <w:color w:val="000000"/>
          <w:sz w:val="32"/>
          <w:szCs w:val="32"/>
        </w:rPr>
        <w:t>篇，Q</w:t>
      </w:r>
      <w:r>
        <w:rPr>
          <w:rFonts w:ascii="仿宋_GB2312" w:eastAsia="仿宋_GB2312"/>
          <w:color w:val="000000"/>
          <w:sz w:val="32"/>
          <w:szCs w:val="32"/>
        </w:rPr>
        <w:t>3</w:t>
      </w:r>
      <w:r>
        <w:rPr>
          <w:rFonts w:ascii="仿宋_GB2312" w:eastAsia="仿宋_GB2312" w:hint="eastAsia"/>
          <w:color w:val="000000"/>
          <w:sz w:val="32"/>
          <w:szCs w:val="32"/>
        </w:rPr>
        <w:t>区期刊可推荐</w:t>
      </w:r>
      <w:r>
        <w:rPr>
          <w:rFonts w:ascii="仿宋_GB2312" w:eastAsia="仿宋_GB2312"/>
          <w:color w:val="000000"/>
          <w:sz w:val="32"/>
          <w:szCs w:val="32"/>
        </w:rPr>
        <w:t>3</w:t>
      </w:r>
      <w:r>
        <w:rPr>
          <w:rFonts w:ascii="仿宋_GB2312" w:eastAsia="仿宋_GB2312" w:hint="eastAsia"/>
          <w:color w:val="000000"/>
          <w:sz w:val="32"/>
          <w:szCs w:val="32"/>
        </w:rPr>
        <w:t>篇</w:t>
      </w:r>
      <w:r>
        <w:rPr>
          <w:rFonts w:ascii="仿宋_GB2312" w:eastAsia="仿宋_GB2312"/>
          <w:color w:val="000000"/>
          <w:sz w:val="32"/>
          <w:szCs w:val="32"/>
        </w:rPr>
        <w:t>，</w:t>
      </w:r>
      <w:r>
        <w:rPr>
          <w:rFonts w:ascii="仿宋_GB2312" w:eastAsia="仿宋_GB2312" w:hint="eastAsia"/>
          <w:color w:val="000000"/>
          <w:sz w:val="32"/>
          <w:szCs w:val="32"/>
        </w:rPr>
        <w:t>Q</w:t>
      </w:r>
      <w:r>
        <w:rPr>
          <w:rFonts w:ascii="仿宋_GB2312" w:eastAsia="仿宋_GB2312"/>
          <w:color w:val="000000"/>
          <w:sz w:val="32"/>
          <w:szCs w:val="32"/>
        </w:rPr>
        <w:t>4</w:t>
      </w:r>
      <w:r>
        <w:rPr>
          <w:rFonts w:ascii="仿宋_GB2312" w:eastAsia="仿宋_GB2312" w:hint="eastAsia"/>
          <w:color w:val="000000"/>
          <w:sz w:val="32"/>
          <w:szCs w:val="32"/>
        </w:rPr>
        <w:t>区期刊可推荐</w:t>
      </w:r>
      <w:r>
        <w:rPr>
          <w:rFonts w:ascii="仿宋_GB2312" w:eastAsia="仿宋_GB2312"/>
          <w:color w:val="000000"/>
          <w:sz w:val="32"/>
          <w:szCs w:val="32"/>
        </w:rPr>
        <w:t>2</w:t>
      </w:r>
      <w:r>
        <w:rPr>
          <w:rFonts w:ascii="仿宋_GB2312" w:eastAsia="仿宋_GB2312" w:hint="eastAsia"/>
          <w:color w:val="000000"/>
          <w:sz w:val="32"/>
          <w:szCs w:val="32"/>
        </w:rPr>
        <w:t>篇，其他区期刊可推荐</w:t>
      </w:r>
      <w:r>
        <w:rPr>
          <w:rFonts w:ascii="仿宋_GB2312" w:eastAsia="仿宋_GB2312"/>
          <w:color w:val="000000"/>
          <w:sz w:val="32"/>
          <w:szCs w:val="32"/>
        </w:rPr>
        <w:t>1</w:t>
      </w:r>
      <w:r>
        <w:rPr>
          <w:rFonts w:ascii="仿宋_GB2312" w:eastAsia="仿宋_GB2312" w:hint="eastAsia"/>
          <w:color w:val="000000"/>
          <w:sz w:val="32"/>
          <w:szCs w:val="32"/>
        </w:rPr>
        <w:t>篇（参见附件</w:t>
      </w:r>
      <w:r>
        <w:rPr>
          <w:rFonts w:ascii="仿宋_GB2312" w:eastAsia="仿宋_GB2312"/>
          <w:color w:val="000000"/>
          <w:sz w:val="32"/>
          <w:szCs w:val="32"/>
        </w:rPr>
        <w:t>1</w:t>
      </w:r>
      <w:r>
        <w:rPr>
          <w:rFonts w:ascii="仿宋_GB2312" w:eastAsia="仿宋_GB2312" w:hint="eastAsia"/>
          <w:color w:val="000000"/>
          <w:sz w:val="32"/>
          <w:szCs w:val="32"/>
        </w:rPr>
        <w:t>）。</w:t>
      </w:r>
    </w:p>
    <w:p w14:paraId="041933D7"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第十一条 </w:t>
      </w:r>
      <w:r>
        <w:rPr>
          <w:rFonts w:ascii="仿宋_GB2312" w:eastAsia="仿宋_GB2312" w:hint="eastAsia"/>
          <w:bCs/>
          <w:color w:val="000000"/>
          <w:sz w:val="32"/>
          <w:szCs w:val="32"/>
        </w:rPr>
        <w:t>推荐单位</w:t>
      </w:r>
      <w:r>
        <w:rPr>
          <w:rFonts w:ascii="仿宋_GB2312" w:eastAsia="仿宋_GB2312" w:hint="eastAsia"/>
          <w:color w:val="000000"/>
          <w:sz w:val="32"/>
          <w:szCs w:val="32"/>
        </w:rPr>
        <w:t>依据分配名额和</w:t>
      </w:r>
      <w:r>
        <w:rPr>
          <w:rFonts w:ascii="仿宋_GB2312" w:eastAsia="仿宋_GB2312" w:hint="eastAsia"/>
          <w:bCs/>
          <w:color w:val="000000"/>
          <w:sz w:val="32"/>
          <w:szCs w:val="32"/>
        </w:rPr>
        <w:t>《中国水产学会年度优秀科技论文学科划分表》（参</w:t>
      </w:r>
      <w:r>
        <w:rPr>
          <w:rFonts w:ascii="仿宋_GB2312" w:eastAsia="仿宋_GB2312" w:hint="eastAsia"/>
          <w:color w:val="000000"/>
          <w:sz w:val="32"/>
          <w:szCs w:val="32"/>
        </w:rPr>
        <w:t>见附件</w:t>
      </w:r>
      <w:r>
        <w:rPr>
          <w:rFonts w:ascii="仿宋_GB2312" w:eastAsia="仿宋_GB2312"/>
          <w:color w:val="000000"/>
          <w:sz w:val="32"/>
          <w:szCs w:val="32"/>
        </w:rPr>
        <w:t>2</w:t>
      </w:r>
      <w:r>
        <w:rPr>
          <w:rFonts w:ascii="仿宋_GB2312" w:eastAsia="仿宋_GB2312" w:hint="eastAsia"/>
          <w:bCs/>
          <w:color w:val="000000"/>
          <w:sz w:val="32"/>
          <w:szCs w:val="32"/>
        </w:rPr>
        <w:t>）</w:t>
      </w:r>
      <w:r>
        <w:rPr>
          <w:rFonts w:ascii="仿宋_GB2312" w:eastAsia="仿宋_GB2312" w:hint="eastAsia"/>
          <w:color w:val="000000"/>
          <w:sz w:val="32"/>
          <w:szCs w:val="32"/>
        </w:rPr>
        <w:t>，向中国水产学会秘书处提交推荐申请表。</w:t>
      </w:r>
    </w:p>
    <w:p w14:paraId="55E662EC"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第十二条 </w:t>
      </w:r>
      <w:r>
        <w:rPr>
          <w:rFonts w:ascii="仿宋_GB2312" w:eastAsia="仿宋_GB2312" w:hint="eastAsia"/>
          <w:color w:val="000000"/>
          <w:sz w:val="32"/>
          <w:szCs w:val="32"/>
        </w:rPr>
        <w:t>中国水产学会秘书处对推荐论文进行形式审查和学科划分。单一学科推荐数量少于10篇时，将划分至相近学科一同评审。</w:t>
      </w:r>
    </w:p>
    <w:p w14:paraId="026DCAD5" w14:textId="77777777" w:rsidR="00D24AFF" w:rsidRDefault="00CC54D4">
      <w:pPr>
        <w:snapToGrid w:val="0"/>
        <w:spacing w:line="600" w:lineRule="exact"/>
        <w:ind w:firstLineChars="200" w:firstLine="640"/>
        <w:rPr>
          <w:rFonts w:ascii="仿宋_GB2312" w:eastAsia="仿宋_GB2312"/>
          <w:bCs/>
          <w:color w:val="000000"/>
          <w:sz w:val="32"/>
          <w:szCs w:val="32"/>
        </w:rPr>
      </w:pPr>
      <w:r>
        <w:rPr>
          <w:rFonts w:ascii="黑体" w:eastAsia="黑体" w:hAnsi="黑体" w:hint="eastAsia"/>
          <w:bCs/>
          <w:color w:val="000000"/>
          <w:sz w:val="32"/>
          <w:szCs w:val="32"/>
        </w:rPr>
        <w:t xml:space="preserve">第十三条 </w:t>
      </w:r>
      <w:r>
        <w:rPr>
          <w:rFonts w:ascii="仿宋_GB2312" w:eastAsia="仿宋_GB2312" w:hint="eastAsia"/>
          <w:bCs/>
          <w:color w:val="000000"/>
          <w:sz w:val="32"/>
          <w:szCs w:val="32"/>
        </w:rPr>
        <w:t>各会员单位所主办的期刊分区、推荐论文的相关引证指标将参照</w:t>
      </w:r>
      <w:bookmarkStart w:id="2" w:name="_Hlk70497434"/>
      <w:r>
        <w:rPr>
          <w:rFonts w:ascii="仿宋_GB2312" w:eastAsia="仿宋_GB2312" w:hint="eastAsia"/>
          <w:bCs/>
          <w:color w:val="000000"/>
          <w:sz w:val="32"/>
          <w:szCs w:val="32"/>
        </w:rPr>
        <w:t>国内权威科技期刊文献计量学机构</w:t>
      </w:r>
      <w:bookmarkEnd w:id="2"/>
      <w:r>
        <w:rPr>
          <w:rFonts w:ascii="仿宋_GB2312" w:eastAsia="仿宋_GB2312" w:hint="eastAsia"/>
          <w:bCs/>
          <w:color w:val="000000"/>
          <w:sz w:val="32"/>
          <w:szCs w:val="32"/>
        </w:rPr>
        <w:t>提</w:t>
      </w:r>
      <w:r>
        <w:rPr>
          <w:rFonts w:ascii="仿宋_GB2312" w:eastAsia="仿宋_GB2312" w:hint="eastAsia"/>
          <w:bCs/>
          <w:color w:val="000000"/>
          <w:sz w:val="32"/>
          <w:szCs w:val="32"/>
        </w:rPr>
        <w:lastRenderedPageBreak/>
        <w:t>供的年度引证报告，最终统计数据由中国水产学会期刊分会秘书处核准。</w:t>
      </w:r>
    </w:p>
    <w:p w14:paraId="490B11B7" w14:textId="77777777" w:rsidR="00D24AFF" w:rsidRDefault="00CC54D4">
      <w:pPr>
        <w:snapToGrid w:val="0"/>
        <w:spacing w:beforeLines="50" w:before="156" w:afterLines="50" w:after="156" w:line="600" w:lineRule="exact"/>
        <w:jc w:val="center"/>
        <w:rPr>
          <w:rFonts w:ascii="黑体" w:eastAsia="黑体" w:hAnsi="黑体"/>
          <w:bCs/>
          <w:color w:val="000000"/>
          <w:sz w:val="32"/>
          <w:szCs w:val="32"/>
        </w:rPr>
      </w:pPr>
      <w:r>
        <w:rPr>
          <w:rFonts w:ascii="黑体" w:eastAsia="黑体" w:hAnsi="黑体" w:hint="eastAsia"/>
          <w:bCs/>
          <w:color w:val="000000"/>
          <w:sz w:val="32"/>
          <w:szCs w:val="32"/>
        </w:rPr>
        <w:t>第四章 评审和公布</w:t>
      </w:r>
    </w:p>
    <w:p w14:paraId="48B36622" w14:textId="77777777" w:rsidR="00D24AFF" w:rsidRDefault="00CC54D4">
      <w:pPr>
        <w:snapToGrid w:val="0"/>
        <w:spacing w:line="600" w:lineRule="exact"/>
        <w:ind w:firstLineChars="200" w:firstLine="640"/>
        <w:rPr>
          <w:rFonts w:ascii="仿宋_GB2312" w:eastAsia="仿宋_GB2312"/>
          <w:color w:val="000000"/>
          <w:sz w:val="32"/>
          <w:szCs w:val="32"/>
        </w:rPr>
      </w:pPr>
      <w:r>
        <w:rPr>
          <w:rFonts w:ascii="黑体" w:eastAsia="黑体" w:hAnsi="黑体" w:hint="eastAsia"/>
          <w:bCs/>
          <w:color w:val="000000"/>
          <w:sz w:val="32"/>
          <w:szCs w:val="32"/>
        </w:rPr>
        <w:t xml:space="preserve">第十四条 </w:t>
      </w:r>
      <w:r>
        <w:rPr>
          <w:rFonts w:ascii="仿宋_GB2312" w:eastAsia="仿宋_GB2312" w:hint="eastAsia"/>
          <w:bCs/>
          <w:color w:val="000000"/>
          <w:sz w:val="32"/>
          <w:szCs w:val="32"/>
        </w:rPr>
        <w:t>中国水产学会年度优秀科技论文按照科学、公正、公开的原则，依据评审标准（参见附件</w:t>
      </w:r>
      <w:r>
        <w:rPr>
          <w:rFonts w:ascii="仿宋_GB2312" w:eastAsia="仿宋_GB2312"/>
          <w:bCs/>
          <w:color w:val="000000"/>
          <w:sz w:val="32"/>
          <w:szCs w:val="32"/>
        </w:rPr>
        <w:t>3</w:t>
      </w:r>
      <w:r>
        <w:rPr>
          <w:rFonts w:ascii="仿宋_GB2312" w:eastAsia="仿宋_GB2312" w:hint="eastAsia"/>
          <w:bCs/>
          <w:color w:val="000000"/>
          <w:sz w:val="32"/>
          <w:szCs w:val="32"/>
        </w:rPr>
        <w:t>），采用同行专家评审</w:t>
      </w:r>
      <w:r>
        <w:rPr>
          <w:rFonts w:ascii="仿宋_GB2312" w:eastAsia="仿宋_GB2312" w:hint="eastAsia"/>
          <w:color w:val="000000"/>
          <w:sz w:val="32"/>
          <w:szCs w:val="32"/>
        </w:rPr>
        <w:t>、评审委员会终审、结果公示、中国水产学会常务理事会审定的程序进行评审。</w:t>
      </w:r>
    </w:p>
    <w:p w14:paraId="2562103A"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（一）同行专家评审</w:t>
      </w:r>
    </w:p>
    <w:p w14:paraId="3E154DCC"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bCs/>
          <w:color w:val="000000"/>
          <w:sz w:val="32"/>
          <w:szCs w:val="32"/>
        </w:rPr>
        <w:t>中国水产学会秘书处</w:t>
      </w:r>
      <w:r>
        <w:rPr>
          <w:rFonts w:ascii="Times New Roman" w:eastAsia="仿宋_GB2312" w:hAnsi="Times New Roman" w:hint="eastAsia"/>
          <w:color w:val="000000"/>
          <w:sz w:val="32"/>
          <w:szCs w:val="32"/>
        </w:rPr>
        <w:t>根据推荐论文的学科划分情况，组织若干学科评审专家组，每个专家组成员不少于</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人，设组长</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名。各学科评审专家根据评分标准对参评论文进行评定打分，组长依据本学科组参评论文的最终得分进行排序，提出入围终审名单（入围论文分数须</w:t>
      </w:r>
      <w:r>
        <w:rPr>
          <w:rFonts w:ascii="Times New Roman" w:eastAsia="仿宋_GB2312" w:hAnsi="Times New Roman" w:hint="eastAsia"/>
          <w:color w:val="000000"/>
          <w:sz w:val="32"/>
          <w:szCs w:val="32"/>
        </w:rPr>
        <w:t>75</w:t>
      </w:r>
      <w:r>
        <w:rPr>
          <w:rFonts w:ascii="Times New Roman" w:eastAsia="仿宋_GB2312" w:hAnsi="Times New Roman" w:hint="eastAsia"/>
          <w:color w:val="000000"/>
          <w:sz w:val="32"/>
          <w:szCs w:val="32"/>
        </w:rPr>
        <w:t>分及以上）。各学科组入围终审比例不得超过总遴选比例（即总遴选数量</w:t>
      </w:r>
      <w:r>
        <w:rPr>
          <w:rFonts w:ascii="Times New Roman" w:eastAsia="仿宋_GB2312" w:hAnsi="Times New Roman" w:hint="eastAsia"/>
          <w:color w:val="000000"/>
          <w:sz w:val="32"/>
          <w:szCs w:val="32"/>
        </w:rPr>
        <w:t>/</w:t>
      </w:r>
      <w:r>
        <w:rPr>
          <w:rFonts w:ascii="Times New Roman" w:eastAsia="仿宋_GB2312" w:hAnsi="Times New Roman" w:hint="eastAsia"/>
          <w:color w:val="000000"/>
          <w:sz w:val="32"/>
          <w:szCs w:val="32"/>
        </w:rPr>
        <w:t>总推荐数量）。</w:t>
      </w:r>
    </w:p>
    <w:p w14:paraId="525664F3"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（二）评审委员会终审</w:t>
      </w:r>
    </w:p>
    <w:p w14:paraId="576B8FF3"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评审委员会由</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至</w:t>
      </w:r>
      <w:r>
        <w:rPr>
          <w:rFonts w:ascii="Times New Roman" w:eastAsia="仿宋_GB2312" w:hAnsi="Times New Roman"/>
          <w:color w:val="000000"/>
          <w:sz w:val="32"/>
          <w:szCs w:val="32"/>
        </w:rPr>
        <w:t>9</w:t>
      </w:r>
      <w:r>
        <w:rPr>
          <w:rFonts w:ascii="Times New Roman" w:eastAsia="仿宋_GB2312" w:hAnsi="Times New Roman" w:hint="eastAsia"/>
          <w:color w:val="000000"/>
          <w:sz w:val="32"/>
          <w:szCs w:val="32"/>
        </w:rPr>
        <w:t>名专家组成，对各学科评审专家组推荐的优秀论文进行终审，通过无记名投票进行表决，按得票多少进行排序，并根据本办法第八条规定限额确定入选论文。入选</w:t>
      </w:r>
      <w:r>
        <w:rPr>
          <w:rFonts w:ascii="Times New Roman" w:eastAsia="仿宋_GB2312" w:hAnsi="Times New Roman" w:hint="eastAsia"/>
          <w:bCs/>
          <w:color w:val="000000"/>
          <w:sz w:val="32"/>
          <w:szCs w:val="32"/>
        </w:rPr>
        <w:t>论文</w:t>
      </w:r>
      <w:r>
        <w:rPr>
          <w:rFonts w:ascii="Times New Roman" w:eastAsia="仿宋_GB2312" w:hAnsi="Times New Roman" w:hint="eastAsia"/>
          <w:color w:val="000000"/>
          <w:sz w:val="32"/>
          <w:szCs w:val="32"/>
        </w:rPr>
        <w:t>须获得</w:t>
      </w: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及以上终审专家委员的同意。</w:t>
      </w:r>
    </w:p>
    <w:p w14:paraId="547E36AA"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（三）结果公示</w:t>
      </w:r>
    </w:p>
    <w:p w14:paraId="09040C5A"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中国水产学会秘书处组织对入选年度优秀科技论文名单进行公示，公示时间为</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个工作日。公示</w:t>
      </w:r>
      <w:r>
        <w:rPr>
          <w:rFonts w:ascii="Times New Roman" w:eastAsia="仿宋_GB2312" w:hAnsi="Times New Roman"/>
          <w:color w:val="000000"/>
          <w:sz w:val="32"/>
          <w:szCs w:val="32"/>
        </w:rPr>
        <w:t>无异议后，</w:t>
      </w:r>
      <w:r>
        <w:rPr>
          <w:rFonts w:ascii="Times New Roman" w:eastAsia="仿宋_GB2312" w:hAnsi="Times New Roman" w:hint="eastAsia"/>
          <w:color w:val="000000"/>
          <w:sz w:val="32"/>
          <w:szCs w:val="32"/>
        </w:rPr>
        <w:t>秘书处负责将年度优秀科技论文名单提请中国水产学会常务理事会进行审定。</w:t>
      </w:r>
    </w:p>
    <w:p w14:paraId="7B5A7E15" w14:textId="77777777" w:rsidR="00D24AFF" w:rsidRDefault="00CC54D4">
      <w:pPr>
        <w:snapToGrid w:val="0"/>
        <w:spacing w:line="600" w:lineRule="exact"/>
        <w:ind w:firstLineChars="200" w:firstLine="643"/>
        <w:rPr>
          <w:rFonts w:ascii="楷体_GB2312" w:eastAsia="楷体_GB2312"/>
          <w:b/>
          <w:bCs/>
          <w:color w:val="000000"/>
          <w:sz w:val="32"/>
          <w:szCs w:val="32"/>
        </w:rPr>
      </w:pPr>
      <w:r>
        <w:rPr>
          <w:rFonts w:ascii="楷体_GB2312" w:eastAsia="楷体_GB2312" w:hint="eastAsia"/>
          <w:b/>
          <w:bCs/>
          <w:color w:val="000000"/>
          <w:sz w:val="32"/>
          <w:szCs w:val="32"/>
        </w:rPr>
        <w:t>（四）常务理事会审定</w:t>
      </w:r>
    </w:p>
    <w:p w14:paraId="59A3DDF8"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中国水产学会常务理事会通过召开会议或通讯方式对公示无异议的年度优秀科技论文进行审定。</w:t>
      </w:r>
    </w:p>
    <w:p w14:paraId="7E87541F" w14:textId="77777777" w:rsidR="00D24AFF" w:rsidRDefault="00CC54D4">
      <w:pPr>
        <w:snapToGrid w:val="0"/>
        <w:spacing w:line="600" w:lineRule="exact"/>
        <w:ind w:firstLineChars="200" w:firstLine="640"/>
        <w:rPr>
          <w:rFonts w:ascii="仿宋_GB2312" w:eastAsia="仿宋_GB2312"/>
          <w:b/>
          <w:bCs/>
          <w:color w:val="FF0000"/>
          <w:sz w:val="32"/>
          <w:szCs w:val="32"/>
        </w:rPr>
      </w:pPr>
      <w:r>
        <w:rPr>
          <w:rFonts w:ascii="黑体" w:eastAsia="黑体" w:hAnsi="黑体" w:hint="eastAsia"/>
          <w:bCs/>
          <w:color w:val="000000"/>
          <w:sz w:val="32"/>
          <w:szCs w:val="32"/>
        </w:rPr>
        <w:t xml:space="preserve">第十五条 </w:t>
      </w:r>
      <w:r>
        <w:rPr>
          <w:rFonts w:ascii="Times New Roman" w:eastAsia="仿宋_GB2312" w:hAnsi="Times New Roman" w:hint="eastAsia"/>
          <w:color w:val="000000"/>
          <w:sz w:val="32"/>
          <w:szCs w:val="32"/>
        </w:rPr>
        <w:t>中国水产学会对年度优秀科技论文进行公告，并在年度范蠡学术大会上向获奖论文的作者、编辑部及责任编辑颁发证书。</w:t>
      </w:r>
    </w:p>
    <w:p w14:paraId="28B33215" w14:textId="77777777" w:rsidR="00D24AFF" w:rsidRDefault="00CC54D4">
      <w:pPr>
        <w:snapToGrid w:val="0"/>
        <w:spacing w:beforeLines="50" w:before="156" w:afterLines="50" w:after="156" w:line="600" w:lineRule="exact"/>
        <w:jc w:val="center"/>
        <w:rPr>
          <w:rFonts w:ascii="黑体" w:eastAsia="黑体" w:hAnsi="黑体"/>
          <w:bCs/>
          <w:color w:val="000000"/>
          <w:sz w:val="32"/>
          <w:szCs w:val="32"/>
        </w:rPr>
      </w:pPr>
      <w:r>
        <w:rPr>
          <w:rFonts w:ascii="黑体" w:eastAsia="黑体" w:hAnsi="黑体" w:hint="eastAsia"/>
          <w:bCs/>
          <w:color w:val="000000"/>
          <w:sz w:val="32"/>
          <w:szCs w:val="32"/>
        </w:rPr>
        <w:t>第五章 异议及处理</w:t>
      </w:r>
    </w:p>
    <w:p w14:paraId="7D951D2D" w14:textId="77777777" w:rsidR="00D24AFF" w:rsidRDefault="00CC54D4">
      <w:pPr>
        <w:snapToGrid w:val="0"/>
        <w:spacing w:line="600" w:lineRule="exact"/>
        <w:ind w:firstLineChars="200" w:firstLine="640"/>
        <w:rPr>
          <w:rFonts w:ascii="Times New Roman" w:eastAsia="仿宋_GB2312" w:hAnsi="Times New Roman"/>
          <w:color w:val="000000"/>
          <w:sz w:val="32"/>
          <w:szCs w:val="32"/>
        </w:rPr>
      </w:pPr>
      <w:r>
        <w:rPr>
          <w:rFonts w:ascii="黑体" w:eastAsia="黑体" w:hAnsi="黑体" w:hint="eastAsia"/>
          <w:bCs/>
          <w:color w:val="000000"/>
          <w:sz w:val="32"/>
          <w:szCs w:val="32"/>
        </w:rPr>
        <w:t>第十六条</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任何单位或个人如有异议均可在公示期内向中国水产学会秘书处提出书面异议。逾期且无正当理由的，不予受理。单位提出异议的要加盖本单位公章，个人异议要署真实姓名。以匿名方式提出的异议一般不予受理。</w:t>
      </w:r>
    </w:p>
    <w:p w14:paraId="5C8D4779"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黑体" w:eastAsia="黑体" w:hAnsi="黑体" w:hint="eastAsia"/>
          <w:bCs/>
          <w:color w:val="000000"/>
          <w:sz w:val="32"/>
          <w:szCs w:val="32"/>
        </w:rPr>
        <w:t>第十七条</w:t>
      </w:r>
      <w:r>
        <w:rPr>
          <w:rFonts w:ascii="Times New Roman" w:eastAsia="仿宋_GB2312" w:hAnsi="Times New Roman" w:hint="eastAsia"/>
          <w:color w:val="000000"/>
          <w:sz w:val="32"/>
          <w:szCs w:val="32"/>
        </w:rPr>
        <w:t xml:space="preserve"> </w:t>
      </w:r>
      <w:r>
        <w:rPr>
          <w:rFonts w:ascii="Times New Roman" w:eastAsia="仿宋_GB2312" w:hAnsi="Times New Roman" w:hint="eastAsia"/>
          <w:color w:val="000000"/>
          <w:sz w:val="32"/>
          <w:szCs w:val="32"/>
        </w:rPr>
        <w:t>异议由中国水产学会秘书处和</w:t>
      </w:r>
      <w:r>
        <w:rPr>
          <w:rFonts w:ascii="仿宋_GB2312" w:eastAsia="仿宋_GB2312" w:hint="eastAsia"/>
          <w:bCs/>
          <w:color w:val="000000"/>
          <w:sz w:val="32"/>
          <w:szCs w:val="32"/>
        </w:rPr>
        <w:t>科学道德与学术诚信工作委员会</w:t>
      </w:r>
      <w:r>
        <w:rPr>
          <w:rFonts w:ascii="Times New Roman" w:eastAsia="仿宋_GB2312" w:hAnsi="Times New Roman" w:hint="eastAsia"/>
          <w:color w:val="000000"/>
          <w:sz w:val="32"/>
          <w:szCs w:val="32"/>
        </w:rPr>
        <w:t>会同推荐单位和异议投诉者协商处理。涉及异议的任何一方应积极配合，在规定的时间内核实异议材料，如期</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答复。必要时，中国水产学会秘书处和</w:t>
      </w:r>
      <w:r>
        <w:rPr>
          <w:rFonts w:ascii="Times New Roman" w:eastAsia="仿宋_GB2312" w:hAnsi="Times New Roman" w:hint="eastAsia"/>
          <w:bCs/>
          <w:color w:val="000000"/>
          <w:sz w:val="32"/>
          <w:szCs w:val="32"/>
        </w:rPr>
        <w:t>科学道德与学术诚信工作委员会</w:t>
      </w:r>
      <w:r>
        <w:rPr>
          <w:rFonts w:ascii="Times New Roman" w:eastAsia="仿宋_GB2312" w:hAnsi="Times New Roman" w:hint="eastAsia"/>
          <w:color w:val="000000"/>
          <w:sz w:val="32"/>
          <w:szCs w:val="32"/>
        </w:rPr>
        <w:t>可组织有关专家进行调查，提出处理意见，如在规定时间内未完成协调，取消遴选资格。</w:t>
      </w:r>
    </w:p>
    <w:p w14:paraId="32FBDE2D" w14:textId="77777777" w:rsidR="00D24AFF" w:rsidRDefault="00CC54D4">
      <w:pPr>
        <w:spacing w:beforeLines="50" w:before="156" w:afterLines="50" w:after="156" w:line="600" w:lineRule="exact"/>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第六章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附</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则</w:t>
      </w:r>
    </w:p>
    <w:p w14:paraId="03872970" w14:textId="77777777" w:rsidR="00D24AFF" w:rsidRDefault="00CC54D4">
      <w:pPr>
        <w:snapToGrid w:val="0"/>
        <w:spacing w:line="600" w:lineRule="exact"/>
        <w:ind w:firstLineChars="200" w:firstLine="640"/>
        <w:rPr>
          <w:rFonts w:ascii="仿宋_GB2312" w:eastAsia="仿宋_GB2312"/>
          <w:bCs/>
          <w:sz w:val="32"/>
          <w:szCs w:val="32"/>
        </w:rPr>
      </w:pPr>
      <w:r>
        <w:rPr>
          <w:rFonts w:ascii="黑体" w:eastAsia="黑体" w:hAnsi="黑体" w:hint="eastAsia"/>
          <w:bCs/>
          <w:color w:val="000000"/>
          <w:sz w:val="32"/>
          <w:szCs w:val="32"/>
        </w:rPr>
        <w:lastRenderedPageBreak/>
        <w:t xml:space="preserve">第十八条 </w:t>
      </w:r>
      <w:r>
        <w:rPr>
          <w:rFonts w:ascii="仿宋_GB2312" w:eastAsia="仿宋_GB2312" w:hint="eastAsia"/>
          <w:bCs/>
          <w:sz w:val="32"/>
          <w:szCs w:val="32"/>
        </w:rPr>
        <w:t>评审工作实行回避制度，学科评审专家或评审委员会委员在评审工作中，若与参评论文的主要作者或参评论文存在利害关系的，应主动申请回避。</w:t>
      </w:r>
    </w:p>
    <w:p w14:paraId="734D4CEE"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黑体" w:eastAsia="黑体" w:hAnsi="黑体" w:hint="eastAsia"/>
          <w:bCs/>
          <w:color w:val="000000"/>
          <w:sz w:val="32"/>
          <w:szCs w:val="32"/>
        </w:rPr>
        <w:t xml:space="preserve">第十九条 </w:t>
      </w:r>
      <w:r>
        <w:rPr>
          <w:rFonts w:ascii="Times New Roman" w:eastAsia="仿宋_GB2312" w:hAnsi="Times New Roman" w:hint="eastAsia"/>
          <w:color w:val="000000"/>
          <w:sz w:val="32"/>
          <w:szCs w:val="32"/>
        </w:rPr>
        <w:t>对通过遴选的论文，一经发现有弄虚作假或剽窃他人成果者，经查明属实，将撤销其资格，收回证书，并予以公告。</w:t>
      </w:r>
    </w:p>
    <w:p w14:paraId="778D3CD8"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黑体" w:eastAsia="黑体" w:hAnsi="黑体" w:hint="eastAsia"/>
          <w:bCs/>
          <w:color w:val="000000"/>
          <w:sz w:val="32"/>
          <w:szCs w:val="32"/>
        </w:rPr>
        <w:t xml:space="preserve">第二十条 </w:t>
      </w:r>
      <w:r>
        <w:rPr>
          <w:rFonts w:ascii="Times New Roman" w:eastAsia="仿宋_GB2312" w:hAnsi="Times New Roman" w:hint="eastAsia"/>
          <w:color w:val="000000"/>
          <w:sz w:val="32"/>
          <w:szCs w:val="32"/>
        </w:rPr>
        <w:t>本办法自公布之日起施行。</w:t>
      </w:r>
    </w:p>
    <w:p w14:paraId="00642A60" w14:textId="77777777" w:rsidR="00D24AFF" w:rsidRDefault="00CC54D4">
      <w:pPr>
        <w:spacing w:line="600" w:lineRule="exact"/>
        <w:ind w:firstLineChars="200" w:firstLine="640"/>
        <w:rPr>
          <w:rFonts w:ascii="Times New Roman" w:eastAsia="仿宋_GB2312" w:hAnsi="Times New Roman"/>
          <w:color w:val="000000"/>
          <w:sz w:val="32"/>
          <w:szCs w:val="32"/>
        </w:rPr>
      </w:pPr>
      <w:r>
        <w:rPr>
          <w:rFonts w:ascii="黑体" w:eastAsia="黑体" w:hAnsi="黑体" w:hint="eastAsia"/>
          <w:bCs/>
          <w:color w:val="000000"/>
          <w:sz w:val="32"/>
          <w:szCs w:val="32"/>
        </w:rPr>
        <w:t xml:space="preserve">第二十一条 </w:t>
      </w:r>
      <w:r>
        <w:rPr>
          <w:rFonts w:ascii="Times New Roman" w:eastAsia="仿宋_GB2312" w:hAnsi="Times New Roman" w:hint="eastAsia"/>
          <w:color w:val="000000"/>
          <w:sz w:val="32"/>
          <w:szCs w:val="32"/>
        </w:rPr>
        <w:t>本办法由中国水产学会秘书处负责解释。</w:t>
      </w:r>
    </w:p>
    <w:p w14:paraId="1DBA5AC0" w14:textId="77777777" w:rsidR="00D24AFF" w:rsidRDefault="00D24AFF">
      <w:pPr>
        <w:spacing w:line="600" w:lineRule="exact"/>
        <w:ind w:firstLineChars="200" w:firstLine="640"/>
        <w:rPr>
          <w:rFonts w:ascii="Times New Roman" w:eastAsia="仿宋_GB2312" w:hAnsi="Times New Roman"/>
          <w:color w:val="000000"/>
          <w:sz w:val="32"/>
          <w:szCs w:val="32"/>
        </w:rPr>
      </w:pPr>
    </w:p>
    <w:p w14:paraId="1138423C" w14:textId="77777777" w:rsidR="00D24AFF" w:rsidRDefault="00D24AFF">
      <w:pPr>
        <w:spacing w:line="600" w:lineRule="exact"/>
        <w:ind w:firstLineChars="200" w:firstLine="640"/>
        <w:rPr>
          <w:rFonts w:ascii="Times New Roman" w:eastAsia="仿宋_GB2312" w:hAnsi="Times New Roman"/>
          <w:color w:val="000000"/>
          <w:sz w:val="32"/>
          <w:szCs w:val="32"/>
        </w:rPr>
      </w:pPr>
    </w:p>
    <w:p w14:paraId="3651A86D" w14:textId="77777777" w:rsidR="00D24AFF" w:rsidRDefault="00D24AFF">
      <w:pPr>
        <w:spacing w:line="600" w:lineRule="exact"/>
        <w:ind w:firstLineChars="200" w:firstLine="640"/>
        <w:rPr>
          <w:rFonts w:ascii="Times New Roman" w:eastAsia="仿宋_GB2312" w:hAnsi="Times New Roman"/>
          <w:color w:val="000000"/>
          <w:sz w:val="32"/>
          <w:szCs w:val="32"/>
        </w:rPr>
      </w:pPr>
    </w:p>
    <w:p w14:paraId="75B73303" w14:textId="77777777" w:rsidR="00D24AFF" w:rsidRDefault="00D24AFF">
      <w:pPr>
        <w:snapToGrid w:val="0"/>
        <w:spacing w:line="600" w:lineRule="exact"/>
        <w:rPr>
          <w:rFonts w:ascii="黑体" w:eastAsia="黑体" w:hAnsi="黑体" w:cs="黑体"/>
          <w:sz w:val="32"/>
        </w:rPr>
      </w:pPr>
    </w:p>
    <w:p w14:paraId="102CFCFE" w14:textId="77777777" w:rsidR="00D24AFF" w:rsidRDefault="00D24AFF">
      <w:pPr>
        <w:snapToGrid w:val="0"/>
        <w:spacing w:line="600" w:lineRule="exact"/>
        <w:rPr>
          <w:rFonts w:ascii="黑体" w:eastAsia="黑体" w:hAnsi="黑体" w:cs="黑体"/>
          <w:sz w:val="32"/>
        </w:rPr>
      </w:pPr>
    </w:p>
    <w:p w14:paraId="28F25C57" w14:textId="77777777" w:rsidR="00D24AFF" w:rsidRDefault="00D24AFF">
      <w:pPr>
        <w:snapToGrid w:val="0"/>
        <w:spacing w:line="600" w:lineRule="exact"/>
        <w:rPr>
          <w:rFonts w:ascii="黑体" w:eastAsia="黑体" w:hAnsi="黑体" w:cs="黑体"/>
          <w:sz w:val="32"/>
        </w:rPr>
      </w:pPr>
    </w:p>
    <w:p w14:paraId="74CD34B1" w14:textId="77777777" w:rsidR="00D24AFF" w:rsidRDefault="00D24AFF">
      <w:pPr>
        <w:snapToGrid w:val="0"/>
        <w:spacing w:line="600" w:lineRule="exact"/>
        <w:rPr>
          <w:rFonts w:ascii="黑体" w:eastAsia="黑体" w:hAnsi="黑体" w:cs="黑体"/>
          <w:sz w:val="32"/>
        </w:rPr>
      </w:pPr>
    </w:p>
    <w:p w14:paraId="7F6B6840" w14:textId="77777777" w:rsidR="00D24AFF" w:rsidRDefault="00D24AFF">
      <w:pPr>
        <w:snapToGrid w:val="0"/>
        <w:spacing w:line="600" w:lineRule="exact"/>
        <w:rPr>
          <w:rFonts w:ascii="黑体" w:eastAsia="黑体" w:hAnsi="黑体" w:cs="黑体"/>
          <w:sz w:val="32"/>
        </w:rPr>
      </w:pPr>
    </w:p>
    <w:p w14:paraId="568B6C7D" w14:textId="77777777" w:rsidR="00D24AFF" w:rsidRDefault="00D24AFF">
      <w:pPr>
        <w:snapToGrid w:val="0"/>
        <w:spacing w:line="600" w:lineRule="exact"/>
        <w:rPr>
          <w:rFonts w:ascii="黑体" w:eastAsia="黑体" w:hAnsi="黑体" w:cs="黑体"/>
          <w:sz w:val="32"/>
        </w:rPr>
      </w:pPr>
    </w:p>
    <w:p w14:paraId="3DCDE063" w14:textId="77777777" w:rsidR="00D24AFF" w:rsidRDefault="00D24AFF">
      <w:pPr>
        <w:snapToGrid w:val="0"/>
        <w:spacing w:line="600" w:lineRule="exact"/>
        <w:rPr>
          <w:rFonts w:ascii="黑体" w:eastAsia="黑体" w:hAnsi="黑体" w:cs="黑体"/>
          <w:sz w:val="32"/>
        </w:rPr>
      </w:pPr>
    </w:p>
    <w:p w14:paraId="1E25FBCD" w14:textId="77777777" w:rsidR="00D24AFF" w:rsidRDefault="00D24AFF">
      <w:pPr>
        <w:snapToGrid w:val="0"/>
        <w:spacing w:line="600" w:lineRule="exact"/>
        <w:rPr>
          <w:rFonts w:ascii="黑体" w:eastAsia="黑体" w:hAnsi="黑体" w:cs="黑体"/>
          <w:sz w:val="32"/>
        </w:rPr>
      </w:pPr>
    </w:p>
    <w:p w14:paraId="3239A60A" w14:textId="77777777" w:rsidR="00D24AFF" w:rsidRDefault="00D24AFF">
      <w:pPr>
        <w:snapToGrid w:val="0"/>
        <w:spacing w:line="600" w:lineRule="exact"/>
        <w:rPr>
          <w:rFonts w:ascii="黑体" w:eastAsia="黑体" w:hAnsi="黑体" w:cs="黑体"/>
          <w:sz w:val="32"/>
        </w:rPr>
      </w:pPr>
    </w:p>
    <w:p w14:paraId="68A39ACF" w14:textId="77777777" w:rsidR="00D24AFF" w:rsidRDefault="00D24AFF">
      <w:pPr>
        <w:snapToGrid w:val="0"/>
        <w:spacing w:line="600" w:lineRule="exact"/>
        <w:rPr>
          <w:rFonts w:ascii="黑体" w:eastAsia="黑体" w:hAnsi="黑体" w:cs="黑体"/>
          <w:sz w:val="32"/>
        </w:rPr>
      </w:pPr>
    </w:p>
    <w:p w14:paraId="6776D47C" w14:textId="77777777" w:rsidR="00D24AFF" w:rsidRDefault="00D24AFF">
      <w:pPr>
        <w:snapToGrid w:val="0"/>
        <w:spacing w:line="600" w:lineRule="exact"/>
        <w:rPr>
          <w:rFonts w:ascii="黑体" w:eastAsia="黑体" w:hAnsi="黑体" w:cs="黑体"/>
          <w:sz w:val="32"/>
        </w:rPr>
      </w:pPr>
    </w:p>
    <w:p w14:paraId="54C2785B" w14:textId="77777777" w:rsidR="00D24AFF" w:rsidRDefault="00D24AFF">
      <w:pPr>
        <w:snapToGrid w:val="0"/>
        <w:spacing w:line="600" w:lineRule="exact"/>
        <w:rPr>
          <w:rFonts w:ascii="黑体" w:eastAsia="黑体" w:hAnsi="黑体" w:cs="黑体"/>
          <w:sz w:val="32"/>
        </w:rPr>
      </w:pPr>
    </w:p>
    <w:p w14:paraId="439016B2" w14:textId="77777777" w:rsidR="00D24AFF" w:rsidRDefault="00CC54D4">
      <w:pPr>
        <w:snapToGrid w:val="0"/>
        <w:spacing w:line="600" w:lineRule="exact"/>
        <w:rPr>
          <w:rFonts w:ascii="黑体" w:eastAsia="黑体" w:hAnsi="黑体" w:cs="黑体"/>
          <w:sz w:val="32"/>
        </w:rPr>
      </w:pPr>
      <w:r>
        <w:rPr>
          <w:rFonts w:ascii="黑体" w:eastAsia="黑体" w:hAnsi="黑体" w:cs="黑体" w:hint="eastAsia"/>
          <w:sz w:val="32"/>
        </w:rPr>
        <w:lastRenderedPageBreak/>
        <w:t>附件</w:t>
      </w:r>
      <w:r>
        <w:rPr>
          <w:rFonts w:ascii="黑体" w:eastAsia="黑体" w:hAnsi="黑体" w:cs="黑体"/>
          <w:sz w:val="32"/>
        </w:rPr>
        <w:t>1</w:t>
      </w:r>
    </w:p>
    <w:p w14:paraId="09C38A20" w14:textId="77777777" w:rsidR="00D24AFF" w:rsidRDefault="00CC54D4">
      <w:pPr>
        <w:spacing w:line="560" w:lineRule="exact"/>
        <w:jc w:val="center"/>
        <w:rPr>
          <w:rFonts w:ascii="Times New Roman" w:eastAsia="方正小标宋简体" w:hAnsi="Times New Roman"/>
          <w:color w:val="000000"/>
          <w:sz w:val="36"/>
          <w:szCs w:val="36"/>
        </w:rPr>
      </w:pPr>
      <w:bookmarkStart w:id="3" w:name="_Hlk71356735"/>
      <w:bookmarkStart w:id="4" w:name="_Hlk71356687"/>
      <w:r>
        <w:rPr>
          <w:rFonts w:ascii="Times New Roman" w:eastAsia="方正小标宋简体" w:hAnsi="Times New Roman"/>
          <w:color w:val="000000"/>
          <w:sz w:val="36"/>
          <w:szCs w:val="36"/>
        </w:rPr>
        <w:t>中国水产学会年度优秀科技论文</w:t>
      </w:r>
    </w:p>
    <w:p w14:paraId="2D96B0D6" w14:textId="77777777" w:rsidR="00D24AFF" w:rsidRDefault="00CC54D4">
      <w:pPr>
        <w:spacing w:line="560" w:lineRule="exact"/>
        <w:jc w:val="center"/>
        <w:rPr>
          <w:rFonts w:ascii="方正小标宋简体" w:eastAsia="方正小标宋简体" w:hAnsi="小标宋" w:cs="小标宋"/>
          <w:bCs/>
          <w:color w:val="000000"/>
          <w:sz w:val="36"/>
          <w:szCs w:val="36"/>
        </w:rPr>
      </w:pPr>
      <w:r>
        <w:rPr>
          <w:rFonts w:ascii="方正小标宋简体" w:eastAsia="方正小标宋简体" w:hAnsi="小标宋" w:cs="小标宋" w:hint="eastAsia"/>
          <w:bCs/>
          <w:color w:val="000000"/>
          <w:sz w:val="36"/>
          <w:szCs w:val="36"/>
        </w:rPr>
        <w:t>参加遴选期刊分区</w:t>
      </w:r>
      <w:bookmarkEnd w:id="3"/>
      <w:r>
        <w:rPr>
          <w:rFonts w:ascii="方正小标宋简体" w:eastAsia="方正小标宋简体" w:hAnsi="小标宋" w:cs="小标宋" w:hint="eastAsia"/>
          <w:bCs/>
          <w:color w:val="000000"/>
          <w:sz w:val="36"/>
          <w:szCs w:val="36"/>
        </w:rPr>
        <w:t>目录及推荐论文数量分布</w:t>
      </w:r>
    </w:p>
    <w:bookmarkEnd w:id="4"/>
    <w:p w14:paraId="090AD8F6" w14:textId="77777777" w:rsidR="00D24AFF" w:rsidRDefault="00CC54D4">
      <w:pPr>
        <w:spacing w:beforeLines="50" w:before="156" w:afterLines="50" w:after="156" w:line="600" w:lineRule="exact"/>
        <w:ind w:firstLine="641"/>
        <w:rPr>
          <w:rFonts w:ascii="仿宋_GB2312" w:eastAsia="仿宋_GB2312"/>
          <w:sz w:val="32"/>
        </w:rPr>
      </w:pPr>
      <w:r>
        <w:rPr>
          <w:rFonts w:ascii="仿宋_GB2312" w:eastAsia="仿宋_GB2312" w:hint="eastAsia"/>
          <w:sz w:val="32"/>
        </w:rPr>
        <w:t>中国水产学会年度优秀科技论文遴选计划推荐论文来自中国水产学会期刊分会会员期刊，期刊分区参考当年国内权威科技期刊文献计量学机构提供的公开数据库。</w:t>
      </w:r>
    </w:p>
    <w:p w14:paraId="00321955" w14:textId="77777777" w:rsidR="00D24AFF" w:rsidRDefault="00CC54D4">
      <w:pPr>
        <w:spacing w:afterLines="50" w:after="156" w:line="600" w:lineRule="exact"/>
        <w:jc w:val="center"/>
        <w:rPr>
          <w:rFonts w:ascii="方正小标宋简体" w:eastAsia="方正小标宋简体"/>
          <w:sz w:val="32"/>
          <w:szCs w:val="32"/>
        </w:rPr>
      </w:pPr>
      <w:r>
        <w:rPr>
          <w:rFonts w:ascii="方正小标宋简体" w:eastAsia="方正小标宋简体" w:hint="eastAsia"/>
          <w:sz w:val="32"/>
          <w:szCs w:val="32"/>
        </w:rPr>
        <w:t>参评期刊分区名录及推荐论文数量分布表</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1701"/>
      </w:tblGrid>
      <w:tr w:rsidR="00D24AFF" w14:paraId="11ADC667" w14:textId="77777777">
        <w:trPr>
          <w:trHeight w:val="792"/>
        </w:trPr>
        <w:tc>
          <w:tcPr>
            <w:tcW w:w="1276" w:type="dxa"/>
            <w:vAlign w:val="center"/>
          </w:tcPr>
          <w:p w14:paraId="1D027BB1" w14:textId="77777777" w:rsidR="00D24AFF" w:rsidRDefault="00CC54D4">
            <w:pPr>
              <w:spacing w:line="440" w:lineRule="exact"/>
              <w:jc w:val="center"/>
              <w:rPr>
                <w:rFonts w:ascii="黑体" w:eastAsia="黑体" w:hAnsi="黑体"/>
                <w:sz w:val="24"/>
                <w:szCs w:val="24"/>
              </w:rPr>
            </w:pPr>
            <w:r>
              <w:rPr>
                <w:rFonts w:ascii="黑体" w:eastAsia="黑体" w:hAnsi="黑体" w:hint="eastAsia"/>
                <w:sz w:val="24"/>
                <w:szCs w:val="24"/>
              </w:rPr>
              <w:t>期刊分区（种）</w:t>
            </w:r>
          </w:p>
        </w:tc>
        <w:tc>
          <w:tcPr>
            <w:tcW w:w="6379" w:type="dxa"/>
            <w:vAlign w:val="center"/>
          </w:tcPr>
          <w:p w14:paraId="034FF66B" w14:textId="77777777" w:rsidR="00D24AFF" w:rsidRDefault="00CC54D4">
            <w:pPr>
              <w:spacing w:line="440" w:lineRule="exact"/>
              <w:jc w:val="center"/>
              <w:rPr>
                <w:rFonts w:ascii="黑体" w:eastAsia="黑体" w:hAnsi="黑体"/>
                <w:sz w:val="24"/>
                <w:szCs w:val="24"/>
              </w:rPr>
            </w:pPr>
            <w:r>
              <w:rPr>
                <w:rFonts w:ascii="黑体" w:eastAsia="黑体" w:hAnsi="黑体" w:hint="eastAsia"/>
                <w:sz w:val="24"/>
                <w:szCs w:val="24"/>
              </w:rPr>
              <w:t>期刊名录</w:t>
            </w:r>
          </w:p>
        </w:tc>
        <w:tc>
          <w:tcPr>
            <w:tcW w:w="1701" w:type="dxa"/>
            <w:vAlign w:val="center"/>
          </w:tcPr>
          <w:p w14:paraId="2DAD22D1" w14:textId="77777777" w:rsidR="00D24AFF" w:rsidRDefault="00CC54D4">
            <w:pPr>
              <w:spacing w:line="440" w:lineRule="exact"/>
              <w:jc w:val="center"/>
              <w:rPr>
                <w:rFonts w:ascii="黑体" w:eastAsia="黑体" w:hAnsi="黑体"/>
                <w:sz w:val="24"/>
                <w:szCs w:val="24"/>
              </w:rPr>
            </w:pPr>
            <w:r>
              <w:rPr>
                <w:rFonts w:ascii="黑体" w:eastAsia="黑体" w:hAnsi="黑体" w:hint="eastAsia"/>
                <w:sz w:val="24"/>
                <w:szCs w:val="24"/>
              </w:rPr>
              <w:t>推荐论文数量</w:t>
            </w:r>
          </w:p>
          <w:p w14:paraId="661D6B64" w14:textId="77777777" w:rsidR="00D24AFF" w:rsidRDefault="00CC54D4">
            <w:pPr>
              <w:spacing w:line="440" w:lineRule="exact"/>
              <w:jc w:val="center"/>
              <w:rPr>
                <w:rFonts w:ascii="黑体" w:eastAsia="黑体" w:hAnsi="黑体"/>
                <w:sz w:val="24"/>
                <w:szCs w:val="24"/>
              </w:rPr>
            </w:pPr>
            <w:r>
              <w:rPr>
                <w:rFonts w:ascii="黑体" w:eastAsia="黑体" w:hAnsi="黑体" w:hint="eastAsia"/>
                <w:sz w:val="24"/>
                <w:szCs w:val="24"/>
              </w:rPr>
              <w:t>分布（篇）</w:t>
            </w:r>
          </w:p>
        </w:tc>
      </w:tr>
      <w:tr w:rsidR="00D24AFF" w14:paraId="2A6B02AD" w14:textId="77777777">
        <w:trPr>
          <w:trHeight w:hRule="exact" w:val="1902"/>
        </w:trPr>
        <w:tc>
          <w:tcPr>
            <w:tcW w:w="1276" w:type="dxa"/>
            <w:vAlign w:val="center"/>
          </w:tcPr>
          <w:p w14:paraId="52A1268C"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Q1</w:t>
            </w:r>
            <w:r>
              <w:rPr>
                <w:rFonts w:ascii="Times New Roman" w:eastAsia="仿宋_GB2312" w:hAnsi="Times New Roman"/>
                <w:szCs w:val="28"/>
              </w:rPr>
              <w:t>（</w:t>
            </w:r>
            <w:r>
              <w:rPr>
                <w:rFonts w:ascii="Times New Roman" w:eastAsia="仿宋_GB2312" w:hAnsi="Times New Roman"/>
                <w:szCs w:val="28"/>
              </w:rPr>
              <w:t>9</w:t>
            </w:r>
            <w:r>
              <w:rPr>
                <w:rFonts w:ascii="Times New Roman" w:eastAsia="仿宋_GB2312" w:hAnsi="Times New Roman"/>
                <w:szCs w:val="28"/>
              </w:rPr>
              <w:t>）</w:t>
            </w:r>
          </w:p>
        </w:tc>
        <w:tc>
          <w:tcPr>
            <w:tcW w:w="6379" w:type="dxa"/>
            <w:vAlign w:val="center"/>
          </w:tcPr>
          <w:p w14:paraId="0B50AD7E" w14:textId="77777777" w:rsidR="00D24AFF" w:rsidRDefault="00CC54D4">
            <w:pPr>
              <w:spacing w:afterLines="50" w:after="156" w:line="480" w:lineRule="exact"/>
              <w:rPr>
                <w:rFonts w:ascii="Times New Roman" w:hAnsi="Times New Roman"/>
                <w:szCs w:val="28"/>
              </w:rPr>
            </w:pPr>
            <w:r>
              <w:rPr>
                <w:rFonts w:ascii="Times New Roman" w:hAnsi="Times New Roman"/>
                <w:szCs w:val="28"/>
              </w:rPr>
              <w:t>水产学报、中国水产科学、水生生物学报、水生态学杂志、渔业科学进展、海洋与湖沼、南方农业学报、</w:t>
            </w:r>
            <w:r>
              <w:rPr>
                <w:rFonts w:ascii="Times New Roman" w:hAnsi="Times New Roman"/>
                <w:szCs w:val="28"/>
              </w:rPr>
              <w:t>Aquaculture and Fisheries</w:t>
            </w:r>
            <w:r>
              <w:rPr>
                <w:rFonts w:ascii="Times New Roman" w:hAnsi="Times New Roman"/>
                <w:szCs w:val="28"/>
              </w:rPr>
              <w:t>、</w:t>
            </w:r>
            <w:r>
              <w:rPr>
                <w:rFonts w:ascii="Times New Roman" w:hAnsi="Times New Roman"/>
                <w:szCs w:val="28"/>
              </w:rPr>
              <w:t>Journal of Oceanology and Limnology</w:t>
            </w:r>
          </w:p>
        </w:tc>
        <w:tc>
          <w:tcPr>
            <w:tcW w:w="1701" w:type="dxa"/>
            <w:vAlign w:val="center"/>
          </w:tcPr>
          <w:p w14:paraId="311C6C14"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5</w:t>
            </w:r>
          </w:p>
        </w:tc>
      </w:tr>
      <w:tr w:rsidR="00D24AFF" w14:paraId="318F71F8" w14:textId="77777777">
        <w:trPr>
          <w:trHeight w:hRule="exact" w:val="1422"/>
        </w:trPr>
        <w:tc>
          <w:tcPr>
            <w:tcW w:w="1276" w:type="dxa"/>
            <w:vAlign w:val="center"/>
          </w:tcPr>
          <w:p w14:paraId="66525E4B"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Q2</w:t>
            </w:r>
            <w:r>
              <w:rPr>
                <w:rFonts w:ascii="Times New Roman" w:eastAsia="仿宋_GB2312" w:hAnsi="Times New Roman"/>
                <w:szCs w:val="28"/>
              </w:rPr>
              <w:t>（</w:t>
            </w:r>
            <w:r>
              <w:rPr>
                <w:rFonts w:ascii="Times New Roman" w:eastAsia="仿宋_GB2312" w:hAnsi="Times New Roman"/>
                <w:szCs w:val="28"/>
              </w:rPr>
              <w:t>8</w:t>
            </w:r>
            <w:r>
              <w:rPr>
                <w:rFonts w:ascii="Times New Roman" w:eastAsia="仿宋_GB2312" w:hAnsi="Times New Roman"/>
                <w:szCs w:val="28"/>
              </w:rPr>
              <w:t>）</w:t>
            </w:r>
          </w:p>
        </w:tc>
        <w:tc>
          <w:tcPr>
            <w:tcW w:w="6379" w:type="dxa"/>
            <w:vAlign w:val="center"/>
          </w:tcPr>
          <w:p w14:paraId="00F84CF9" w14:textId="77777777" w:rsidR="00D24AFF" w:rsidRDefault="00CC54D4">
            <w:pPr>
              <w:spacing w:afterLines="50" w:after="156" w:line="480" w:lineRule="exact"/>
              <w:rPr>
                <w:rFonts w:ascii="Times New Roman" w:hAnsi="Times New Roman"/>
                <w:szCs w:val="28"/>
              </w:rPr>
            </w:pPr>
            <w:r>
              <w:rPr>
                <w:rFonts w:ascii="Times New Roman" w:hAnsi="Times New Roman"/>
                <w:szCs w:val="28"/>
              </w:rPr>
              <w:t>南方水产科学、上海海洋大学学报、淡水渔业、水产科学、大连海洋大学学报、海洋渔业、应用海洋学学报、安徽农业大学学报</w:t>
            </w:r>
          </w:p>
        </w:tc>
        <w:tc>
          <w:tcPr>
            <w:tcW w:w="1701" w:type="dxa"/>
            <w:vAlign w:val="center"/>
          </w:tcPr>
          <w:p w14:paraId="50ADAB3F"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4</w:t>
            </w:r>
          </w:p>
        </w:tc>
      </w:tr>
      <w:tr w:rsidR="00D24AFF" w14:paraId="1FEBEF2A" w14:textId="77777777">
        <w:trPr>
          <w:trHeight w:hRule="exact" w:val="1555"/>
        </w:trPr>
        <w:tc>
          <w:tcPr>
            <w:tcW w:w="1276" w:type="dxa"/>
            <w:vAlign w:val="center"/>
          </w:tcPr>
          <w:p w14:paraId="6714137A"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Q3</w:t>
            </w:r>
            <w:r>
              <w:rPr>
                <w:rFonts w:ascii="Times New Roman" w:eastAsia="仿宋_GB2312" w:hAnsi="Times New Roman"/>
                <w:szCs w:val="28"/>
              </w:rPr>
              <w:t>（</w:t>
            </w:r>
            <w:r>
              <w:rPr>
                <w:rFonts w:ascii="Times New Roman" w:eastAsia="仿宋_GB2312" w:hAnsi="Times New Roman"/>
                <w:szCs w:val="28"/>
              </w:rPr>
              <w:t>7</w:t>
            </w:r>
            <w:r>
              <w:rPr>
                <w:rFonts w:ascii="Times New Roman" w:eastAsia="仿宋_GB2312" w:hAnsi="Times New Roman"/>
                <w:szCs w:val="28"/>
              </w:rPr>
              <w:t>）</w:t>
            </w:r>
          </w:p>
        </w:tc>
        <w:tc>
          <w:tcPr>
            <w:tcW w:w="6379" w:type="dxa"/>
            <w:vAlign w:val="center"/>
          </w:tcPr>
          <w:p w14:paraId="083C2E1A" w14:textId="77777777" w:rsidR="00D24AFF" w:rsidRDefault="00CC54D4">
            <w:pPr>
              <w:spacing w:afterLines="50" w:after="156" w:line="480" w:lineRule="exact"/>
              <w:rPr>
                <w:rFonts w:ascii="Times New Roman" w:hAnsi="Times New Roman"/>
                <w:szCs w:val="28"/>
              </w:rPr>
            </w:pPr>
            <w:r>
              <w:rPr>
                <w:rFonts w:ascii="Times New Roman" w:hAnsi="Times New Roman"/>
                <w:szCs w:val="28"/>
              </w:rPr>
              <w:t>海洋学研究、中国渔业质量与标准、广东海洋大学学报、渔业现代化、水产学杂志、渔业研究、水产科技情报</w:t>
            </w:r>
          </w:p>
        </w:tc>
        <w:tc>
          <w:tcPr>
            <w:tcW w:w="1701" w:type="dxa"/>
            <w:vAlign w:val="center"/>
          </w:tcPr>
          <w:p w14:paraId="07C15BD0"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3</w:t>
            </w:r>
          </w:p>
        </w:tc>
      </w:tr>
      <w:tr w:rsidR="00D24AFF" w14:paraId="36644966" w14:textId="77777777">
        <w:tc>
          <w:tcPr>
            <w:tcW w:w="1276" w:type="dxa"/>
            <w:vAlign w:val="center"/>
          </w:tcPr>
          <w:p w14:paraId="3942E55E"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Q4</w:t>
            </w:r>
            <w:r>
              <w:rPr>
                <w:rFonts w:ascii="Times New Roman" w:eastAsia="仿宋_GB2312" w:hAnsi="Times New Roman"/>
                <w:szCs w:val="28"/>
              </w:rPr>
              <w:t>（</w:t>
            </w:r>
            <w:r>
              <w:rPr>
                <w:rFonts w:ascii="Times New Roman" w:eastAsia="仿宋_GB2312" w:hAnsi="Times New Roman"/>
                <w:szCs w:val="28"/>
              </w:rPr>
              <w:t>4</w:t>
            </w:r>
            <w:r>
              <w:rPr>
                <w:rFonts w:ascii="Times New Roman" w:eastAsia="仿宋_GB2312" w:hAnsi="Times New Roman"/>
                <w:szCs w:val="28"/>
              </w:rPr>
              <w:t>）</w:t>
            </w:r>
          </w:p>
        </w:tc>
        <w:tc>
          <w:tcPr>
            <w:tcW w:w="6379" w:type="dxa"/>
            <w:vAlign w:val="center"/>
          </w:tcPr>
          <w:p w14:paraId="56660916" w14:textId="77777777" w:rsidR="00D24AFF" w:rsidRDefault="00CC54D4">
            <w:pPr>
              <w:spacing w:afterLines="50" w:after="156" w:line="480" w:lineRule="exact"/>
              <w:rPr>
                <w:rFonts w:ascii="Times New Roman" w:hAnsi="Times New Roman"/>
                <w:szCs w:val="28"/>
              </w:rPr>
            </w:pPr>
            <w:r>
              <w:rPr>
                <w:rFonts w:ascii="Times New Roman" w:hAnsi="Times New Roman"/>
                <w:szCs w:val="28"/>
              </w:rPr>
              <w:t>渔业信息与战略、浙江海洋大学学报（自然科学版）、河北渔业、水产养殖</w:t>
            </w:r>
          </w:p>
        </w:tc>
        <w:tc>
          <w:tcPr>
            <w:tcW w:w="1701" w:type="dxa"/>
            <w:vAlign w:val="center"/>
          </w:tcPr>
          <w:p w14:paraId="237764D7"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2</w:t>
            </w:r>
          </w:p>
        </w:tc>
      </w:tr>
      <w:tr w:rsidR="00D24AFF" w14:paraId="772F5FAE" w14:textId="77777777">
        <w:trPr>
          <w:trHeight w:val="828"/>
        </w:trPr>
        <w:tc>
          <w:tcPr>
            <w:tcW w:w="1276" w:type="dxa"/>
            <w:vAlign w:val="center"/>
          </w:tcPr>
          <w:p w14:paraId="406097DC" w14:textId="77777777" w:rsidR="00D24AFF" w:rsidRDefault="00CC54D4">
            <w:pPr>
              <w:spacing w:afterLines="50" w:after="156" w:line="600" w:lineRule="exact"/>
              <w:rPr>
                <w:rFonts w:ascii="Times New Roman" w:eastAsia="仿宋_GB2312" w:hAnsi="Times New Roman"/>
                <w:szCs w:val="28"/>
              </w:rPr>
            </w:pPr>
            <w:r>
              <w:rPr>
                <w:rFonts w:ascii="Times New Roman" w:hAnsi="Times New Roman"/>
                <w:szCs w:val="28"/>
              </w:rPr>
              <w:t>其他</w:t>
            </w:r>
            <w:r>
              <w:rPr>
                <w:rFonts w:ascii="Times New Roman" w:eastAsia="仿宋_GB2312" w:hAnsi="Times New Roman"/>
                <w:szCs w:val="28"/>
              </w:rPr>
              <w:t>（</w:t>
            </w:r>
            <w:r>
              <w:rPr>
                <w:rFonts w:ascii="Times New Roman" w:eastAsia="仿宋_GB2312" w:hAnsi="Times New Roman" w:hint="eastAsia"/>
                <w:szCs w:val="28"/>
              </w:rPr>
              <w:t>7</w:t>
            </w:r>
            <w:r>
              <w:rPr>
                <w:rFonts w:ascii="Times New Roman" w:eastAsia="仿宋_GB2312" w:hAnsi="Times New Roman"/>
                <w:szCs w:val="28"/>
              </w:rPr>
              <w:t>）</w:t>
            </w:r>
          </w:p>
        </w:tc>
        <w:tc>
          <w:tcPr>
            <w:tcW w:w="6379" w:type="dxa"/>
            <w:vAlign w:val="center"/>
          </w:tcPr>
          <w:p w14:paraId="54AEA98A" w14:textId="77777777" w:rsidR="00D24AFF" w:rsidRDefault="00CC54D4">
            <w:pPr>
              <w:spacing w:afterLines="50" w:after="156" w:line="480" w:lineRule="exact"/>
              <w:rPr>
                <w:rFonts w:ascii="Times New Roman" w:hAnsi="Times New Roman"/>
                <w:szCs w:val="28"/>
              </w:rPr>
            </w:pPr>
            <w:r>
              <w:rPr>
                <w:rFonts w:ascii="Times New Roman" w:hAnsi="Times New Roman"/>
                <w:szCs w:val="28"/>
              </w:rPr>
              <w:t>集美大学学报、江苏海洋大学学报、中国渔业经济、河南水产、齐鲁渔业</w:t>
            </w:r>
            <w:r>
              <w:rPr>
                <w:rFonts w:ascii="Times New Roman" w:hAnsi="Times New Roman" w:hint="eastAsia"/>
                <w:szCs w:val="28"/>
              </w:rPr>
              <w:t>、科学养鱼、中国水产</w:t>
            </w:r>
          </w:p>
        </w:tc>
        <w:tc>
          <w:tcPr>
            <w:tcW w:w="1701" w:type="dxa"/>
            <w:vAlign w:val="center"/>
          </w:tcPr>
          <w:p w14:paraId="4BAAEC13" w14:textId="77777777" w:rsidR="00D24AFF" w:rsidRDefault="00CC54D4">
            <w:pPr>
              <w:spacing w:afterLines="50" w:after="156" w:line="600" w:lineRule="exact"/>
              <w:jc w:val="center"/>
              <w:rPr>
                <w:rFonts w:ascii="Times New Roman" w:eastAsia="仿宋_GB2312" w:hAnsi="Times New Roman"/>
                <w:szCs w:val="28"/>
              </w:rPr>
            </w:pPr>
            <w:r>
              <w:rPr>
                <w:rFonts w:ascii="Times New Roman" w:eastAsia="仿宋_GB2312" w:hAnsi="Times New Roman"/>
                <w:szCs w:val="28"/>
              </w:rPr>
              <w:t>1</w:t>
            </w:r>
          </w:p>
        </w:tc>
      </w:tr>
    </w:tbl>
    <w:p w14:paraId="6F767AB0" w14:textId="77777777" w:rsidR="00D24AFF" w:rsidRDefault="00CC54D4">
      <w:pPr>
        <w:spacing w:line="600" w:lineRule="exact"/>
        <w:rPr>
          <w:rFonts w:eastAsia="仿宋_GB2312"/>
          <w:szCs w:val="21"/>
        </w:rPr>
      </w:pPr>
      <w:r>
        <w:rPr>
          <w:rFonts w:eastAsia="仿宋_GB2312" w:hint="eastAsia"/>
          <w:szCs w:val="21"/>
        </w:rPr>
        <w:t>注：上表为</w:t>
      </w:r>
      <w:r>
        <w:rPr>
          <w:rFonts w:eastAsia="仿宋_GB2312" w:hint="eastAsia"/>
          <w:szCs w:val="21"/>
        </w:rPr>
        <w:t>2020</w:t>
      </w:r>
      <w:r>
        <w:rPr>
          <w:rFonts w:eastAsia="仿宋_GB2312" w:hint="eastAsia"/>
          <w:szCs w:val="21"/>
        </w:rPr>
        <w:t>年统计数据。以</w:t>
      </w:r>
      <w:r>
        <w:rPr>
          <w:rFonts w:eastAsia="仿宋_GB2312"/>
          <w:szCs w:val="21"/>
        </w:rPr>
        <w:t>后根据当年</w:t>
      </w:r>
      <w:r>
        <w:rPr>
          <w:rFonts w:eastAsia="仿宋_GB2312" w:hint="eastAsia"/>
          <w:szCs w:val="21"/>
        </w:rPr>
        <w:t>期刊分区公开数据库实</w:t>
      </w:r>
      <w:r>
        <w:rPr>
          <w:rFonts w:eastAsia="仿宋_GB2312"/>
          <w:szCs w:val="21"/>
        </w:rPr>
        <w:t>时调整。</w:t>
      </w:r>
    </w:p>
    <w:p w14:paraId="2F4DA21B" w14:textId="77777777" w:rsidR="00D24AFF" w:rsidRDefault="00CC54D4">
      <w:pPr>
        <w:snapToGrid w:val="0"/>
        <w:spacing w:line="60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2</w:t>
      </w:r>
    </w:p>
    <w:p w14:paraId="5050BC80" w14:textId="77777777" w:rsidR="00D24AFF" w:rsidRDefault="00CC54D4">
      <w:pPr>
        <w:spacing w:beforeLines="50" w:before="156" w:afterLines="150" w:after="468" w:line="600" w:lineRule="exact"/>
        <w:jc w:val="center"/>
        <w:rPr>
          <w:rFonts w:ascii="Times New Roman" w:eastAsia="方正小标宋简体" w:hAnsi="Times New Roman"/>
          <w:bCs/>
          <w:color w:val="000000"/>
          <w:sz w:val="36"/>
          <w:szCs w:val="36"/>
        </w:rPr>
      </w:pPr>
      <w:r>
        <w:rPr>
          <w:rFonts w:ascii="Times New Roman" w:eastAsia="方正小标宋简体" w:hAnsi="Times New Roman"/>
          <w:color w:val="000000"/>
          <w:sz w:val="36"/>
          <w:szCs w:val="36"/>
        </w:rPr>
        <w:t>中国水产学会年度优秀科技论文</w:t>
      </w:r>
      <w:r>
        <w:rPr>
          <w:rFonts w:ascii="Times New Roman" w:eastAsia="方正小标宋简体" w:hAnsi="Times New Roman"/>
          <w:bCs/>
          <w:sz w:val="36"/>
          <w:szCs w:val="36"/>
        </w:rPr>
        <w:t>学科划分</w:t>
      </w:r>
    </w:p>
    <w:p w14:paraId="445C5A69" w14:textId="77777777" w:rsidR="00D24AFF" w:rsidRDefault="00CC54D4">
      <w:pPr>
        <w:spacing w:afterLines="100" w:after="312" w:line="600" w:lineRule="exact"/>
        <w:ind w:firstLine="641"/>
        <w:rPr>
          <w:rFonts w:ascii="Times New Roman" w:eastAsia="仿宋_GB2312" w:hAnsi="Times New Roman"/>
          <w:sz w:val="32"/>
        </w:rPr>
      </w:pPr>
      <w:r>
        <w:rPr>
          <w:rFonts w:ascii="Times New Roman" w:eastAsia="仿宋_GB2312" w:hAnsi="Times New Roman"/>
          <w:sz w:val="32"/>
        </w:rPr>
        <w:t>中国水产学会年度优秀科技论文遴选计划推荐论文来自中国水产学会期刊分会会员期刊，推荐论文的学科划分参考中国水产学会范蠡</w:t>
      </w:r>
      <w:r>
        <w:rPr>
          <w:rFonts w:ascii="Times New Roman" w:eastAsia="仿宋_GB2312" w:hAnsi="Times New Roman" w:hint="eastAsia"/>
          <w:sz w:val="32"/>
        </w:rPr>
        <w:t>学术大会主要学科领域专题设置</w:t>
      </w:r>
      <w:r>
        <w:rPr>
          <w:rFonts w:ascii="Times New Roman" w:eastAsia="仿宋_GB2312" w:hAnsi="Times New Roman"/>
          <w:sz w:val="32"/>
        </w:rPr>
        <w:t>。</w:t>
      </w:r>
    </w:p>
    <w:p w14:paraId="260534CE" w14:textId="77777777" w:rsidR="00D24AFF" w:rsidRDefault="00CC54D4">
      <w:pPr>
        <w:spacing w:afterLines="50" w:after="156" w:line="600" w:lineRule="exact"/>
        <w:jc w:val="center"/>
        <w:rPr>
          <w:rFonts w:ascii="Times New Roman" w:eastAsia="方正小标宋简体" w:hAnsi="Times New Roman"/>
          <w:sz w:val="32"/>
          <w:szCs w:val="32"/>
        </w:rPr>
      </w:pPr>
      <w:r>
        <w:rPr>
          <w:rFonts w:ascii="Times New Roman" w:eastAsia="方正小标宋简体" w:hAnsi="Times New Roman"/>
          <w:sz w:val="32"/>
          <w:szCs w:val="32"/>
        </w:rPr>
        <w:t xml:space="preserve">  </w:t>
      </w:r>
      <w:r>
        <w:rPr>
          <w:rFonts w:ascii="Times New Roman" w:eastAsia="方正小标宋简体" w:hAnsi="Times New Roman"/>
          <w:sz w:val="32"/>
          <w:szCs w:val="32"/>
        </w:rPr>
        <w:t>推荐论文学科</w:t>
      </w:r>
      <w:r>
        <w:rPr>
          <w:rFonts w:ascii="Times New Roman" w:eastAsia="方正小标宋简体" w:hAnsi="Times New Roman" w:hint="eastAsia"/>
          <w:sz w:val="32"/>
          <w:szCs w:val="32"/>
        </w:rPr>
        <w:t>领域</w:t>
      </w:r>
      <w:r>
        <w:rPr>
          <w:rFonts w:ascii="Times New Roman" w:eastAsia="方正小标宋简体" w:hAnsi="Times New Roman"/>
          <w:sz w:val="32"/>
          <w:szCs w:val="32"/>
        </w:rPr>
        <w:t>划分表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7041"/>
      </w:tblGrid>
      <w:tr w:rsidR="00D24AFF" w14:paraId="0CE84F9E" w14:textId="77777777">
        <w:trPr>
          <w:trHeight w:hRule="exact" w:val="680"/>
          <w:jc w:val="center"/>
        </w:trPr>
        <w:tc>
          <w:tcPr>
            <w:tcW w:w="988" w:type="dxa"/>
            <w:vAlign w:val="center"/>
          </w:tcPr>
          <w:p w14:paraId="30C78154" w14:textId="77777777" w:rsidR="00D24AFF" w:rsidRDefault="00CC54D4">
            <w:pPr>
              <w:spacing w:line="600" w:lineRule="exact"/>
              <w:jc w:val="center"/>
              <w:rPr>
                <w:rFonts w:ascii="Times New Roman" w:eastAsia="黑体" w:hAnsi="Times New Roman"/>
                <w:szCs w:val="36"/>
              </w:rPr>
            </w:pPr>
            <w:r>
              <w:rPr>
                <w:rFonts w:ascii="Times New Roman" w:eastAsia="黑体" w:hAnsi="Times New Roman"/>
                <w:szCs w:val="36"/>
              </w:rPr>
              <w:t>序号</w:t>
            </w:r>
          </w:p>
        </w:tc>
        <w:tc>
          <w:tcPr>
            <w:tcW w:w="7041" w:type="dxa"/>
            <w:vAlign w:val="center"/>
          </w:tcPr>
          <w:p w14:paraId="70B939B9" w14:textId="77777777" w:rsidR="00D24AFF" w:rsidRDefault="00CC54D4">
            <w:pPr>
              <w:spacing w:line="600" w:lineRule="exact"/>
              <w:jc w:val="center"/>
              <w:rPr>
                <w:rFonts w:ascii="Times New Roman" w:eastAsia="黑体" w:hAnsi="Times New Roman"/>
                <w:szCs w:val="36"/>
              </w:rPr>
            </w:pPr>
            <w:r>
              <w:rPr>
                <w:rFonts w:ascii="Times New Roman" w:eastAsia="黑体" w:hAnsi="Times New Roman"/>
                <w:szCs w:val="36"/>
              </w:rPr>
              <w:t>学科</w:t>
            </w:r>
            <w:r>
              <w:rPr>
                <w:rFonts w:ascii="Times New Roman" w:eastAsia="黑体" w:hAnsi="Times New Roman" w:hint="eastAsia"/>
                <w:szCs w:val="36"/>
              </w:rPr>
              <w:t>领域</w:t>
            </w:r>
          </w:p>
        </w:tc>
      </w:tr>
      <w:tr w:rsidR="00D24AFF" w14:paraId="4DFFA850" w14:textId="77777777">
        <w:trPr>
          <w:trHeight w:hRule="exact" w:val="680"/>
          <w:jc w:val="center"/>
        </w:trPr>
        <w:tc>
          <w:tcPr>
            <w:tcW w:w="988" w:type="dxa"/>
            <w:vAlign w:val="center"/>
          </w:tcPr>
          <w:p w14:paraId="474318F8"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1</w:t>
            </w:r>
          </w:p>
        </w:tc>
        <w:tc>
          <w:tcPr>
            <w:tcW w:w="7041" w:type="dxa"/>
            <w:vAlign w:val="center"/>
          </w:tcPr>
          <w:p w14:paraId="7421C140"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水产绿色健康养殖</w:t>
            </w:r>
          </w:p>
        </w:tc>
      </w:tr>
      <w:tr w:rsidR="00D24AFF" w14:paraId="24BE0AE9" w14:textId="77777777">
        <w:trPr>
          <w:trHeight w:hRule="exact" w:val="680"/>
          <w:jc w:val="center"/>
        </w:trPr>
        <w:tc>
          <w:tcPr>
            <w:tcW w:w="988" w:type="dxa"/>
            <w:vAlign w:val="center"/>
          </w:tcPr>
          <w:p w14:paraId="63E8ECD6"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2</w:t>
            </w:r>
          </w:p>
        </w:tc>
        <w:tc>
          <w:tcPr>
            <w:tcW w:w="7041" w:type="dxa"/>
            <w:vAlign w:val="center"/>
          </w:tcPr>
          <w:p w14:paraId="79D2BD88"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水产生物技术与</w:t>
            </w:r>
            <w:r>
              <w:rPr>
                <w:rFonts w:ascii="Times New Roman" w:hAnsi="Times New Roman" w:hint="eastAsia"/>
                <w:color w:val="000000"/>
                <w:szCs w:val="36"/>
              </w:rPr>
              <w:t>遗传育种</w:t>
            </w:r>
          </w:p>
        </w:tc>
      </w:tr>
      <w:tr w:rsidR="00D24AFF" w14:paraId="1038FB5A" w14:textId="77777777">
        <w:trPr>
          <w:trHeight w:hRule="exact" w:val="680"/>
          <w:jc w:val="center"/>
        </w:trPr>
        <w:tc>
          <w:tcPr>
            <w:tcW w:w="988" w:type="dxa"/>
            <w:vAlign w:val="center"/>
          </w:tcPr>
          <w:p w14:paraId="29B553E7"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3</w:t>
            </w:r>
          </w:p>
        </w:tc>
        <w:tc>
          <w:tcPr>
            <w:tcW w:w="7041" w:type="dxa"/>
            <w:vAlign w:val="center"/>
          </w:tcPr>
          <w:p w14:paraId="2C6094CB"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水产养殖动物营养与饲料</w:t>
            </w:r>
          </w:p>
        </w:tc>
      </w:tr>
      <w:tr w:rsidR="00D24AFF" w14:paraId="32C61515" w14:textId="77777777">
        <w:trPr>
          <w:trHeight w:hRule="exact" w:val="680"/>
          <w:jc w:val="center"/>
        </w:trPr>
        <w:tc>
          <w:tcPr>
            <w:tcW w:w="988" w:type="dxa"/>
            <w:vAlign w:val="center"/>
          </w:tcPr>
          <w:p w14:paraId="750F69BC"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4</w:t>
            </w:r>
          </w:p>
        </w:tc>
        <w:tc>
          <w:tcPr>
            <w:tcW w:w="7041" w:type="dxa"/>
            <w:vAlign w:val="center"/>
          </w:tcPr>
          <w:p w14:paraId="6B583A6B"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水产病害防治与水产品质</w:t>
            </w:r>
            <w:proofErr w:type="gramStart"/>
            <w:r>
              <w:rPr>
                <w:rFonts w:ascii="Times New Roman" w:hAnsi="Times New Roman"/>
                <w:color w:val="000000"/>
                <w:szCs w:val="36"/>
              </w:rPr>
              <w:t>量安全</w:t>
            </w:r>
            <w:proofErr w:type="gramEnd"/>
          </w:p>
        </w:tc>
      </w:tr>
      <w:tr w:rsidR="00D24AFF" w14:paraId="3448F4CB" w14:textId="77777777">
        <w:trPr>
          <w:trHeight w:hRule="exact" w:val="680"/>
          <w:jc w:val="center"/>
        </w:trPr>
        <w:tc>
          <w:tcPr>
            <w:tcW w:w="988" w:type="dxa"/>
            <w:vAlign w:val="center"/>
          </w:tcPr>
          <w:p w14:paraId="742383FE"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5</w:t>
            </w:r>
          </w:p>
        </w:tc>
        <w:tc>
          <w:tcPr>
            <w:tcW w:w="7041" w:type="dxa"/>
            <w:vAlign w:val="center"/>
          </w:tcPr>
          <w:p w14:paraId="118B9E6A"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可持续捕捞</w:t>
            </w:r>
          </w:p>
        </w:tc>
      </w:tr>
      <w:tr w:rsidR="00D24AFF" w14:paraId="248CF422" w14:textId="77777777">
        <w:trPr>
          <w:trHeight w:hRule="exact" w:val="680"/>
          <w:jc w:val="center"/>
        </w:trPr>
        <w:tc>
          <w:tcPr>
            <w:tcW w:w="988" w:type="dxa"/>
            <w:vAlign w:val="center"/>
          </w:tcPr>
          <w:p w14:paraId="6DE3D0A2"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6</w:t>
            </w:r>
          </w:p>
        </w:tc>
        <w:tc>
          <w:tcPr>
            <w:tcW w:w="7041" w:type="dxa"/>
            <w:vAlign w:val="center"/>
          </w:tcPr>
          <w:p w14:paraId="57C7BC3A"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水生生物资源养护</w:t>
            </w:r>
            <w:r>
              <w:rPr>
                <w:rFonts w:ascii="Times New Roman" w:hAnsi="Times New Roman" w:hint="eastAsia"/>
                <w:color w:val="000000"/>
                <w:szCs w:val="36"/>
              </w:rPr>
              <w:t>与</w:t>
            </w:r>
            <w:r>
              <w:rPr>
                <w:rFonts w:ascii="Times New Roman" w:hAnsi="Times New Roman"/>
                <w:color w:val="000000"/>
                <w:szCs w:val="36"/>
              </w:rPr>
              <w:t>水域生态修复</w:t>
            </w:r>
          </w:p>
        </w:tc>
      </w:tr>
      <w:tr w:rsidR="00D24AFF" w14:paraId="2920A53B" w14:textId="77777777">
        <w:trPr>
          <w:trHeight w:hRule="exact" w:val="680"/>
          <w:jc w:val="center"/>
        </w:trPr>
        <w:tc>
          <w:tcPr>
            <w:tcW w:w="988" w:type="dxa"/>
            <w:vAlign w:val="center"/>
          </w:tcPr>
          <w:p w14:paraId="4E7E87E1"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7</w:t>
            </w:r>
          </w:p>
        </w:tc>
        <w:tc>
          <w:tcPr>
            <w:tcW w:w="7041" w:type="dxa"/>
            <w:vAlign w:val="center"/>
          </w:tcPr>
          <w:p w14:paraId="672FA02C"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水产品加工与综合利用</w:t>
            </w:r>
          </w:p>
        </w:tc>
      </w:tr>
      <w:tr w:rsidR="00D24AFF" w14:paraId="00DB113E" w14:textId="77777777">
        <w:trPr>
          <w:trHeight w:hRule="exact" w:val="680"/>
          <w:jc w:val="center"/>
        </w:trPr>
        <w:tc>
          <w:tcPr>
            <w:tcW w:w="988" w:type="dxa"/>
            <w:vAlign w:val="center"/>
          </w:tcPr>
          <w:p w14:paraId="646F9BD4"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8</w:t>
            </w:r>
          </w:p>
        </w:tc>
        <w:tc>
          <w:tcPr>
            <w:tcW w:w="7041" w:type="dxa"/>
            <w:vAlign w:val="center"/>
          </w:tcPr>
          <w:p w14:paraId="28B9F43A"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休闲渔业与</w:t>
            </w:r>
            <w:proofErr w:type="gramStart"/>
            <w:r>
              <w:rPr>
                <w:rFonts w:ascii="Times New Roman" w:hAnsi="Times New Roman"/>
                <w:color w:val="000000"/>
                <w:szCs w:val="36"/>
              </w:rPr>
              <w:t>渔文化</w:t>
            </w:r>
            <w:proofErr w:type="gramEnd"/>
          </w:p>
        </w:tc>
      </w:tr>
      <w:tr w:rsidR="00D24AFF" w14:paraId="131A2979" w14:textId="77777777">
        <w:trPr>
          <w:trHeight w:hRule="exact" w:val="680"/>
          <w:jc w:val="center"/>
        </w:trPr>
        <w:tc>
          <w:tcPr>
            <w:tcW w:w="988" w:type="dxa"/>
            <w:vAlign w:val="center"/>
          </w:tcPr>
          <w:p w14:paraId="6F312587"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9</w:t>
            </w:r>
          </w:p>
        </w:tc>
        <w:tc>
          <w:tcPr>
            <w:tcW w:w="7041" w:type="dxa"/>
            <w:vAlign w:val="center"/>
          </w:tcPr>
          <w:p w14:paraId="4B799A1D" w14:textId="77777777" w:rsidR="00D24AFF" w:rsidRDefault="00CC54D4">
            <w:pPr>
              <w:spacing w:line="600" w:lineRule="exact"/>
              <w:jc w:val="center"/>
              <w:rPr>
                <w:rFonts w:ascii="Times New Roman" w:hAnsi="Times New Roman"/>
                <w:szCs w:val="36"/>
              </w:rPr>
            </w:pPr>
            <w:r>
              <w:rPr>
                <w:rFonts w:ascii="Times New Roman" w:hAnsi="Times New Roman"/>
                <w:color w:val="000000"/>
                <w:szCs w:val="36"/>
              </w:rPr>
              <w:t>现代渔业设施装备与信息化</w:t>
            </w:r>
          </w:p>
        </w:tc>
      </w:tr>
      <w:tr w:rsidR="00D24AFF" w14:paraId="7D803F56" w14:textId="77777777">
        <w:trPr>
          <w:trHeight w:hRule="exact" w:val="680"/>
          <w:jc w:val="center"/>
        </w:trPr>
        <w:tc>
          <w:tcPr>
            <w:tcW w:w="988" w:type="dxa"/>
            <w:vAlign w:val="center"/>
          </w:tcPr>
          <w:p w14:paraId="6DB5BFC0" w14:textId="77777777" w:rsidR="00D24AFF" w:rsidRDefault="00CC54D4">
            <w:pPr>
              <w:spacing w:line="600" w:lineRule="exact"/>
              <w:jc w:val="center"/>
              <w:rPr>
                <w:rFonts w:ascii="Times New Roman" w:hAnsi="Times New Roman"/>
                <w:color w:val="000000"/>
                <w:szCs w:val="36"/>
              </w:rPr>
            </w:pPr>
            <w:r>
              <w:rPr>
                <w:rFonts w:ascii="Times New Roman" w:hAnsi="Times New Roman"/>
                <w:color w:val="000000"/>
                <w:szCs w:val="36"/>
              </w:rPr>
              <w:t>10</w:t>
            </w:r>
          </w:p>
        </w:tc>
        <w:tc>
          <w:tcPr>
            <w:tcW w:w="7041" w:type="dxa"/>
            <w:vAlign w:val="center"/>
          </w:tcPr>
          <w:p w14:paraId="708A1CD0" w14:textId="77777777" w:rsidR="00D24AFF" w:rsidRDefault="00CC54D4">
            <w:pPr>
              <w:spacing w:line="600" w:lineRule="exact"/>
              <w:jc w:val="center"/>
              <w:rPr>
                <w:rFonts w:ascii="Times New Roman" w:hAnsi="Times New Roman"/>
                <w:color w:val="000000"/>
                <w:szCs w:val="36"/>
              </w:rPr>
            </w:pPr>
            <w:r>
              <w:rPr>
                <w:rFonts w:ascii="Times New Roman" w:hAnsi="Times New Roman"/>
                <w:color w:val="000000"/>
                <w:szCs w:val="36"/>
              </w:rPr>
              <w:t>渔业经济、政策与管理</w:t>
            </w:r>
          </w:p>
        </w:tc>
      </w:tr>
    </w:tbl>
    <w:p w14:paraId="3C0AB61C" w14:textId="77777777" w:rsidR="00D24AFF" w:rsidRDefault="00D24AFF">
      <w:pPr>
        <w:snapToGrid w:val="0"/>
        <w:spacing w:line="600" w:lineRule="exact"/>
        <w:rPr>
          <w:rFonts w:ascii="Times New Roman" w:eastAsia="黑体" w:hAnsi="Times New Roman"/>
          <w:sz w:val="32"/>
        </w:rPr>
      </w:pPr>
    </w:p>
    <w:p w14:paraId="01F9315C" w14:textId="77777777" w:rsidR="00D24AFF" w:rsidRDefault="00D24AFF">
      <w:pPr>
        <w:snapToGrid w:val="0"/>
        <w:spacing w:line="600" w:lineRule="exact"/>
        <w:rPr>
          <w:rFonts w:ascii="Times New Roman" w:eastAsia="黑体" w:hAnsi="Times New Roman"/>
          <w:sz w:val="32"/>
        </w:rPr>
      </w:pPr>
    </w:p>
    <w:p w14:paraId="4FE73A16" w14:textId="77777777" w:rsidR="00D24AFF" w:rsidRDefault="00CC54D4">
      <w:pPr>
        <w:snapToGrid w:val="0"/>
        <w:spacing w:line="600" w:lineRule="exact"/>
        <w:rPr>
          <w:rFonts w:ascii="Times New Roman" w:eastAsia="黑体" w:hAnsi="Times New Roman"/>
          <w:sz w:val="32"/>
        </w:rPr>
      </w:pPr>
      <w:r>
        <w:rPr>
          <w:rFonts w:ascii="Times New Roman" w:eastAsia="黑体" w:hAnsi="Times New Roman"/>
          <w:sz w:val="32"/>
        </w:rPr>
        <w:lastRenderedPageBreak/>
        <w:t>附件</w:t>
      </w:r>
      <w:r>
        <w:rPr>
          <w:rFonts w:ascii="Times New Roman" w:eastAsia="黑体" w:hAnsi="Times New Roman"/>
          <w:sz w:val="32"/>
        </w:rPr>
        <w:t>3</w:t>
      </w:r>
    </w:p>
    <w:p w14:paraId="74AC4984" w14:textId="77777777" w:rsidR="00D24AFF" w:rsidRDefault="00CC54D4">
      <w:pPr>
        <w:spacing w:beforeLines="50" w:before="156" w:afterLines="150" w:after="468" w:line="600" w:lineRule="exact"/>
        <w:jc w:val="center"/>
        <w:rPr>
          <w:rFonts w:ascii="Times New Roman" w:eastAsia="方正小标宋简体" w:hAnsi="Times New Roman"/>
          <w:bCs/>
          <w:color w:val="000000"/>
          <w:sz w:val="36"/>
          <w:szCs w:val="36"/>
        </w:rPr>
      </w:pPr>
      <w:r>
        <w:rPr>
          <w:rFonts w:ascii="Times New Roman" w:eastAsia="方正小标宋简体" w:hAnsi="Times New Roman"/>
          <w:color w:val="000000"/>
          <w:sz w:val="36"/>
          <w:szCs w:val="36"/>
        </w:rPr>
        <w:t>中国水产学会年度优秀科技论文</w:t>
      </w:r>
      <w:r>
        <w:rPr>
          <w:rFonts w:ascii="Times New Roman" w:eastAsia="方正小标宋简体" w:hAnsi="Times New Roman"/>
          <w:bCs/>
          <w:color w:val="000000"/>
          <w:sz w:val="36"/>
          <w:szCs w:val="36"/>
        </w:rPr>
        <w:t>评分体系与参考指标</w:t>
      </w:r>
    </w:p>
    <w:p w14:paraId="108D3089" w14:textId="77777777" w:rsidR="00D24AFF" w:rsidRDefault="00CC54D4">
      <w:pPr>
        <w:spacing w:afterLines="50" w:after="156" w:line="600" w:lineRule="exact"/>
        <w:ind w:firstLineChars="200" w:firstLine="640"/>
        <w:rPr>
          <w:rFonts w:ascii="Times New Roman" w:eastAsia="仿宋_GB2312" w:hAnsi="Times New Roman"/>
          <w:sz w:val="32"/>
        </w:rPr>
      </w:pPr>
      <w:r>
        <w:rPr>
          <w:rFonts w:ascii="Times New Roman" w:eastAsia="仿宋_GB2312" w:hAnsi="Times New Roman"/>
          <w:sz w:val="32"/>
        </w:rPr>
        <w:t>中国水产学会年度优秀科技论文遴选工作评价指标体系含定性指标和定量指标两部分。其中，定性评分体系</w:t>
      </w:r>
      <w:r>
        <w:rPr>
          <w:rFonts w:ascii="Times New Roman" w:eastAsia="仿宋_GB2312" w:hAnsi="Times New Roman" w:hint="eastAsia"/>
          <w:sz w:val="32"/>
        </w:rPr>
        <w:t>（满分</w:t>
      </w:r>
      <w:r>
        <w:rPr>
          <w:rFonts w:ascii="Times New Roman" w:eastAsia="仿宋_GB2312" w:hAnsi="Times New Roman" w:hint="eastAsia"/>
          <w:sz w:val="32"/>
        </w:rPr>
        <w:t>1</w:t>
      </w:r>
      <w:r>
        <w:rPr>
          <w:rFonts w:ascii="Times New Roman" w:eastAsia="仿宋_GB2312" w:hAnsi="Times New Roman"/>
          <w:sz w:val="32"/>
        </w:rPr>
        <w:t>00</w:t>
      </w:r>
      <w:r>
        <w:rPr>
          <w:rFonts w:ascii="Times New Roman" w:eastAsia="仿宋_GB2312" w:hAnsi="Times New Roman" w:hint="eastAsia"/>
          <w:sz w:val="32"/>
        </w:rPr>
        <w:t>分）</w:t>
      </w:r>
      <w:r>
        <w:rPr>
          <w:rFonts w:ascii="Times New Roman" w:eastAsia="仿宋_GB2312" w:hAnsi="Times New Roman"/>
          <w:sz w:val="32"/>
        </w:rPr>
        <w:t>分为研究</w:t>
      </w:r>
      <w:r>
        <w:rPr>
          <w:rFonts w:ascii="Times New Roman" w:eastAsia="仿宋_GB2312" w:hAnsi="Times New Roman" w:hint="eastAsia"/>
          <w:sz w:val="32"/>
        </w:rPr>
        <w:t>型</w:t>
      </w:r>
      <w:r>
        <w:rPr>
          <w:rFonts w:ascii="Times New Roman" w:eastAsia="仿宋_GB2312" w:hAnsi="Times New Roman"/>
          <w:sz w:val="32"/>
        </w:rPr>
        <w:t>论文、综述</w:t>
      </w:r>
      <w:r>
        <w:rPr>
          <w:rFonts w:ascii="Times New Roman" w:eastAsia="仿宋_GB2312" w:hAnsi="Times New Roman" w:hint="eastAsia"/>
          <w:sz w:val="32"/>
        </w:rPr>
        <w:t>型</w:t>
      </w:r>
      <w:r>
        <w:rPr>
          <w:rFonts w:ascii="Times New Roman" w:eastAsia="仿宋_GB2312" w:hAnsi="Times New Roman"/>
          <w:sz w:val="32"/>
        </w:rPr>
        <w:t>论文</w:t>
      </w:r>
      <w:r>
        <w:rPr>
          <w:rFonts w:ascii="Times New Roman" w:eastAsia="仿宋_GB2312" w:hAnsi="Times New Roman" w:hint="eastAsia"/>
          <w:sz w:val="32"/>
        </w:rPr>
        <w:t>两</w:t>
      </w:r>
      <w:r>
        <w:rPr>
          <w:rFonts w:ascii="Times New Roman" w:eastAsia="仿宋_GB2312" w:hAnsi="Times New Roman"/>
          <w:sz w:val="32"/>
        </w:rPr>
        <w:t>类，由评审专家根据论文的学术内容和水平、写作质量及规范等方面进行定性评分。定量评分体系</w:t>
      </w:r>
      <w:proofErr w:type="gramStart"/>
      <w:r>
        <w:rPr>
          <w:rFonts w:ascii="Times New Roman" w:eastAsia="仿宋_GB2312" w:hAnsi="Times New Roman"/>
          <w:sz w:val="32"/>
        </w:rPr>
        <w:t>从施引</w:t>
      </w:r>
      <w:proofErr w:type="gramEnd"/>
      <w:r>
        <w:rPr>
          <w:rFonts w:ascii="Times New Roman" w:eastAsia="仿宋_GB2312" w:hAnsi="Times New Roman"/>
          <w:sz w:val="32"/>
        </w:rPr>
        <w:t>文献和参考文献的定量数据等方面对论文进行定性分析和量化统计，由第三方评分系统给出定量得分，仅供评审专家参考。</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
        <w:gridCol w:w="162"/>
        <w:gridCol w:w="1368"/>
        <w:gridCol w:w="177"/>
        <w:gridCol w:w="549"/>
        <w:gridCol w:w="186"/>
        <w:gridCol w:w="3213"/>
        <w:gridCol w:w="286"/>
        <w:gridCol w:w="851"/>
        <w:gridCol w:w="992"/>
        <w:gridCol w:w="52"/>
        <w:gridCol w:w="184"/>
      </w:tblGrid>
      <w:tr w:rsidR="00D24AFF" w14:paraId="728586EA" w14:textId="77777777">
        <w:trPr>
          <w:gridAfter w:val="3"/>
          <w:wAfter w:w="1228" w:type="dxa"/>
          <w:trHeight w:val="910"/>
          <w:jc w:val="center"/>
        </w:trPr>
        <w:tc>
          <w:tcPr>
            <w:tcW w:w="7797" w:type="dxa"/>
            <w:gridSpan w:val="10"/>
            <w:tcBorders>
              <w:top w:val="nil"/>
              <w:left w:val="nil"/>
              <w:right w:val="nil"/>
            </w:tcBorders>
            <w:shd w:val="clear" w:color="auto" w:fill="FFFFFF"/>
            <w:vAlign w:val="center"/>
          </w:tcPr>
          <w:p w14:paraId="138BBAAF" w14:textId="77777777" w:rsidR="00D24AFF" w:rsidRDefault="00CC54D4">
            <w:pPr>
              <w:spacing w:line="600" w:lineRule="exact"/>
              <w:jc w:val="center"/>
              <w:rPr>
                <w:rFonts w:ascii="Times New Roman" w:eastAsia="仿宋_GB2312" w:hAnsi="Times New Roman"/>
                <w:color w:val="000000"/>
                <w:szCs w:val="21"/>
              </w:rPr>
            </w:pPr>
            <w:r>
              <w:rPr>
                <w:rFonts w:ascii="Times New Roman" w:eastAsia="方正小标宋简体" w:hAnsi="Times New Roman" w:hint="eastAsia"/>
                <w:color w:val="000000"/>
                <w:sz w:val="32"/>
                <w:szCs w:val="32"/>
              </w:rPr>
              <w:t xml:space="preserve"> </w:t>
            </w:r>
            <w:r>
              <w:rPr>
                <w:rFonts w:ascii="Times New Roman" w:eastAsia="方正小标宋简体" w:hAnsi="Times New Roman"/>
                <w:color w:val="000000"/>
                <w:sz w:val="32"/>
                <w:szCs w:val="32"/>
              </w:rPr>
              <w:t xml:space="preserve">    </w:t>
            </w:r>
            <w:r>
              <w:rPr>
                <w:rFonts w:ascii="Times New Roman" w:eastAsia="方正小标宋简体" w:hAnsi="Times New Roman"/>
                <w:color w:val="000000"/>
                <w:sz w:val="32"/>
                <w:szCs w:val="32"/>
              </w:rPr>
              <w:t>表</w:t>
            </w:r>
            <w:r>
              <w:rPr>
                <w:rFonts w:ascii="Times New Roman" w:eastAsia="方正小标宋简体" w:hAnsi="Times New Roman"/>
                <w:color w:val="000000"/>
                <w:sz w:val="32"/>
                <w:szCs w:val="32"/>
              </w:rPr>
              <w:t xml:space="preserve">1. </w:t>
            </w:r>
            <w:r>
              <w:rPr>
                <w:rFonts w:ascii="Times New Roman" w:eastAsia="方正小标宋简体" w:hAnsi="Times New Roman"/>
                <w:color w:val="000000"/>
                <w:sz w:val="32"/>
                <w:szCs w:val="32"/>
              </w:rPr>
              <w:t>定量评分体系</w:t>
            </w:r>
          </w:p>
        </w:tc>
      </w:tr>
      <w:tr w:rsidR="00D24AFF" w14:paraId="4953E16B" w14:textId="77777777">
        <w:trPr>
          <w:gridAfter w:val="2"/>
          <w:wAfter w:w="236" w:type="dxa"/>
          <w:trHeight w:val="827"/>
          <w:jc w:val="center"/>
        </w:trPr>
        <w:tc>
          <w:tcPr>
            <w:tcW w:w="993" w:type="dxa"/>
            <w:vAlign w:val="center"/>
          </w:tcPr>
          <w:p w14:paraId="0795B9D2" w14:textId="77777777" w:rsidR="00D24AFF" w:rsidRDefault="00D24AFF">
            <w:pPr>
              <w:spacing w:line="600" w:lineRule="exact"/>
              <w:jc w:val="center"/>
              <w:rPr>
                <w:rFonts w:ascii="Times New Roman" w:eastAsia="仿宋_GB2312" w:hAnsi="Times New Roman"/>
                <w:color w:val="000000"/>
                <w:sz w:val="32"/>
                <w:szCs w:val="32"/>
              </w:rPr>
            </w:pPr>
          </w:p>
        </w:tc>
        <w:tc>
          <w:tcPr>
            <w:tcW w:w="2268" w:type="dxa"/>
            <w:gridSpan w:val="5"/>
            <w:vAlign w:val="center"/>
          </w:tcPr>
          <w:p w14:paraId="160655AE" w14:textId="77777777" w:rsidR="00D24AFF" w:rsidRDefault="00CC54D4">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名称</w:t>
            </w:r>
          </w:p>
        </w:tc>
        <w:tc>
          <w:tcPr>
            <w:tcW w:w="3685" w:type="dxa"/>
            <w:gridSpan w:val="3"/>
            <w:vAlign w:val="center"/>
          </w:tcPr>
          <w:p w14:paraId="0C11A405" w14:textId="77777777" w:rsidR="00D24AFF" w:rsidRDefault="00CC54D4">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定义</w:t>
            </w:r>
          </w:p>
        </w:tc>
        <w:tc>
          <w:tcPr>
            <w:tcW w:w="1843" w:type="dxa"/>
            <w:gridSpan w:val="2"/>
            <w:vAlign w:val="center"/>
          </w:tcPr>
          <w:p w14:paraId="1BCE02F3" w14:textId="77777777" w:rsidR="00D24AFF" w:rsidRDefault="00CC54D4">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备注</w:t>
            </w:r>
          </w:p>
        </w:tc>
      </w:tr>
      <w:tr w:rsidR="00D24AFF" w14:paraId="7422259C" w14:textId="77777777">
        <w:trPr>
          <w:gridAfter w:val="2"/>
          <w:wAfter w:w="236" w:type="dxa"/>
          <w:trHeight w:val="1279"/>
          <w:jc w:val="center"/>
        </w:trPr>
        <w:tc>
          <w:tcPr>
            <w:tcW w:w="993" w:type="dxa"/>
            <w:vMerge w:val="restart"/>
            <w:vAlign w:val="center"/>
          </w:tcPr>
          <w:p w14:paraId="31FBA81A"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color w:val="000000"/>
                <w:sz w:val="32"/>
                <w:szCs w:val="32"/>
              </w:rPr>
              <w:t>推荐论文</w:t>
            </w:r>
          </w:p>
        </w:tc>
        <w:tc>
          <w:tcPr>
            <w:tcW w:w="2268" w:type="dxa"/>
            <w:gridSpan w:val="5"/>
            <w:vAlign w:val="center"/>
          </w:tcPr>
          <w:p w14:paraId="1E6CCC4F"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作者权重</w:t>
            </w:r>
          </w:p>
        </w:tc>
        <w:tc>
          <w:tcPr>
            <w:tcW w:w="3685" w:type="dxa"/>
            <w:gridSpan w:val="3"/>
            <w:vAlign w:val="center"/>
          </w:tcPr>
          <w:p w14:paraId="4EE6A487" w14:textId="77777777" w:rsidR="00D24AFF" w:rsidRDefault="00CC54D4">
            <w:pPr>
              <w:spacing w:line="6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作者</w:t>
            </w:r>
            <w:r>
              <w:rPr>
                <w:rFonts w:ascii="Times New Roman" w:eastAsia="仿宋_GB2312" w:hAnsi="Times New Roman"/>
                <w:bCs/>
                <w:color w:val="000000"/>
                <w:sz w:val="32"/>
                <w:szCs w:val="32"/>
              </w:rPr>
              <w:t>h</w:t>
            </w:r>
            <w:r>
              <w:rPr>
                <w:rFonts w:ascii="Times New Roman" w:eastAsia="仿宋_GB2312" w:hAnsi="Times New Roman"/>
                <w:bCs/>
                <w:color w:val="000000"/>
                <w:sz w:val="32"/>
                <w:szCs w:val="32"/>
              </w:rPr>
              <w:t>指数总和（</w:t>
            </w:r>
            <w:r>
              <w:rPr>
                <w:rFonts w:ascii="Times New Roman" w:eastAsia="仿宋_GB2312" w:hAnsi="Times New Roman"/>
                <w:bCs/>
                <w:color w:val="000000"/>
                <w:sz w:val="32"/>
                <w:szCs w:val="32"/>
              </w:rPr>
              <w:t>CNKI</w:t>
            </w:r>
            <w:r>
              <w:rPr>
                <w:rFonts w:ascii="Times New Roman" w:eastAsia="仿宋_GB2312" w:hAnsi="Times New Roman"/>
                <w:bCs/>
                <w:color w:val="000000"/>
                <w:sz w:val="32"/>
                <w:szCs w:val="32"/>
              </w:rPr>
              <w:t>），归</w:t>
            </w:r>
            <w:proofErr w:type="gramStart"/>
            <w:r>
              <w:rPr>
                <w:rFonts w:ascii="Times New Roman" w:eastAsia="仿宋_GB2312" w:hAnsi="Times New Roman"/>
                <w:bCs/>
                <w:color w:val="000000"/>
                <w:sz w:val="32"/>
                <w:szCs w:val="32"/>
              </w:rPr>
              <w:t>一</w:t>
            </w:r>
            <w:proofErr w:type="gramEnd"/>
            <w:r>
              <w:rPr>
                <w:rFonts w:ascii="Times New Roman" w:eastAsia="仿宋_GB2312" w:hAnsi="Times New Roman"/>
                <w:bCs/>
                <w:color w:val="000000"/>
                <w:sz w:val="32"/>
                <w:szCs w:val="32"/>
              </w:rPr>
              <w:t>后给权重</w:t>
            </w:r>
            <w:r>
              <w:rPr>
                <w:rFonts w:ascii="Times New Roman" w:eastAsia="仿宋_GB2312" w:hAnsi="Times New Roman"/>
                <w:bCs/>
                <w:color w:val="000000"/>
                <w:sz w:val="32"/>
                <w:szCs w:val="32"/>
              </w:rPr>
              <w:t>20%</w:t>
            </w:r>
            <w:r>
              <w:rPr>
                <w:rFonts w:ascii="Times New Roman" w:eastAsia="仿宋_GB2312" w:hAnsi="Times New Roman"/>
                <w:bCs/>
                <w:color w:val="000000"/>
                <w:sz w:val="32"/>
                <w:szCs w:val="32"/>
              </w:rPr>
              <w:t>。</w:t>
            </w:r>
          </w:p>
        </w:tc>
        <w:tc>
          <w:tcPr>
            <w:tcW w:w="1843" w:type="dxa"/>
            <w:gridSpan w:val="2"/>
            <w:vAlign w:val="center"/>
          </w:tcPr>
          <w:p w14:paraId="0142A0DE" w14:textId="77777777" w:rsidR="00D24AFF" w:rsidRDefault="00D24AFF">
            <w:pPr>
              <w:spacing w:line="600" w:lineRule="exact"/>
              <w:jc w:val="center"/>
              <w:rPr>
                <w:rFonts w:ascii="Times New Roman" w:eastAsia="仿宋_GB2312" w:hAnsi="Times New Roman"/>
                <w:bCs/>
                <w:color w:val="000000"/>
                <w:sz w:val="32"/>
                <w:szCs w:val="32"/>
              </w:rPr>
            </w:pPr>
          </w:p>
        </w:tc>
      </w:tr>
      <w:tr w:rsidR="00D24AFF" w14:paraId="54331517" w14:textId="77777777">
        <w:trPr>
          <w:gridAfter w:val="2"/>
          <w:wAfter w:w="236" w:type="dxa"/>
          <w:trHeight w:val="1836"/>
          <w:jc w:val="center"/>
        </w:trPr>
        <w:tc>
          <w:tcPr>
            <w:tcW w:w="993" w:type="dxa"/>
            <w:vMerge/>
            <w:vAlign w:val="center"/>
          </w:tcPr>
          <w:p w14:paraId="5D09BE05" w14:textId="77777777" w:rsidR="00D24AFF" w:rsidRDefault="00D24AFF">
            <w:pPr>
              <w:spacing w:line="600" w:lineRule="exact"/>
              <w:rPr>
                <w:rFonts w:ascii="Times New Roman" w:eastAsia="仿宋_GB2312" w:hAnsi="Times New Roman"/>
                <w:bCs/>
                <w:color w:val="000000"/>
                <w:sz w:val="32"/>
                <w:szCs w:val="32"/>
              </w:rPr>
            </w:pPr>
          </w:p>
        </w:tc>
        <w:tc>
          <w:tcPr>
            <w:tcW w:w="2268" w:type="dxa"/>
            <w:gridSpan w:val="5"/>
            <w:vAlign w:val="center"/>
          </w:tcPr>
          <w:p w14:paraId="59CB9DDB"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期刊权重</w:t>
            </w:r>
          </w:p>
        </w:tc>
        <w:tc>
          <w:tcPr>
            <w:tcW w:w="3685" w:type="dxa"/>
            <w:gridSpan w:val="3"/>
            <w:vAlign w:val="center"/>
          </w:tcPr>
          <w:p w14:paraId="7373C4CE" w14:textId="77777777" w:rsidR="00D24AFF" w:rsidRDefault="00CC54D4">
            <w:pPr>
              <w:spacing w:line="6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期刊</w:t>
            </w:r>
            <w:r>
              <w:rPr>
                <w:rFonts w:ascii="Times New Roman" w:eastAsia="仿宋_GB2312" w:hAnsi="Times New Roman"/>
                <w:bCs/>
                <w:color w:val="000000"/>
                <w:sz w:val="32"/>
                <w:szCs w:val="32"/>
              </w:rPr>
              <w:t>IF</w:t>
            </w:r>
            <w:r>
              <w:rPr>
                <w:rFonts w:ascii="Times New Roman" w:eastAsia="仿宋_GB2312" w:hAnsi="Times New Roman"/>
                <w:bCs/>
                <w:color w:val="000000"/>
                <w:sz w:val="32"/>
                <w:szCs w:val="32"/>
              </w:rPr>
              <w:t>总和（国内复合影响因子、国际</w:t>
            </w:r>
            <w:r>
              <w:rPr>
                <w:rFonts w:ascii="Times New Roman" w:eastAsia="仿宋_GB2312" w:hAnsi="Times New Roman"/>
                <w:bCs/>
                <w:color w:val="000000"/>
                <w:sz w:val="32"/>
                <w:szCs w:val="32"/>
              </w:rPr>
              <w:t>JCR</w:t>
            </w:r>
            <w:r>
              <w:rPr>
                <w:rFonts w:ascii="Times New Roman" w:eastAsia="仿宋_GB2312" w:hAnsi="Times New Roman"/>
                <w:bCs/>
                <w:color w:val="000000"/>
                <w:sz w:val="32"/>
                <w:szCs w:val="32"/>
              </w:rPr>
              <w:t>报告），归</w:t>
            </w:r>
            <w:proofErr w:type="gramStart"/>
            <w:r>
              <w:rPr>
                <w:rFonts w:ascii="Times New Roman" w:eastAsia="仿宋_GB2312" w:hAnsi="Times New Roman"/>
                <w:bCs/>
                <w:color w:val="000000"/>
                <w:sz w:val="32"/>
                <w:szCs w:val="32"/>
              </w:rPr>
              <w:t>一</w:t>
            </w:r>
            <w:proofErr w:type="gramEnd"/>
            <w:r>
              <w:rPr>
                <w:rFonts w:ascii="Times New Roman" w:eastAsia="仿宋_GB2312" w:hAnsi="Times New Roman"/>
                <w:bCs/>
                <w:color w:val="000000"/>
                <w:sz w:val="32"/>
                <w:szCs w:val="32"/>
              </w:rPr>
              <w:t>后给权重</w:t>
            </w:r>
            <w:r>
              <w:rPr>
                <w:rFonts w:ascii="Times New Roman" w:eastAsia="仿宋_GB2312" w:hAnsi="Times New Roman"/>
                <w:bCs/>
                <w:color w:val="000000"/>
                <w:sz w:val="32"/>
                <w:szCs w:val="32"/>
              </w:rPr>
              <w:t>20%</w:t>
            </w:r>
            <w:r>
              <w:rPr>
                <w:rFonts w:ascii="Times New Roman" w:eastAsia="仿宋_GB2312" w:hAnsi="Times New Roman"/>
                <w:bCs/>
                <w:color w:val="000000"/>
                <w:sz w:val="32"/>
                <w:szCs w:val="32"/>
              </w:rPr>
              <w:t>。</w:t>
            </w:r>
          </w:p>
        </w:tc>
        <w:tc>
          <w:tcPr>
            <w:tcW w:w="1843" w:type="dxa"/>
            <w:gridSpan w:val="2"/>
            <w:vAlign w:val="center"/>
          </w:tcPr>
          <w:p w14:paraId="3B520268" w14:textId="77777777" w:rsidR="00D24AFF" w:rsidRDefault="00D24AFF">
            <w:pPr>
              <w:spacing w:line="600" w:lineRule="exact"/>
              <w:jc w:val="center"/>
              <w:rPr>
                <w:rFonts w:ascii="Times New Roman" w:eastAsia="仿宋_GB2312" w:hAnsi="Times New Roman"/>
                <w:bCs/>
                <w:color w:val="000000"/>
                <w:sz w:val="32"/>
                <w:szCs w:val="32"/>
              </w:rPr>
            </w:pPr>
          </w:p>
        </w:tc>
      </w:tr>
      <w:tr w:rsidR="00D24AFF" w14:paraId="0EE8A4D8" w14:textId="77777777">
        <w:trPr>
          <w:gridAfter w:val="2"/>
          <w:wAfter w:w="236" w:type="dxa"/>
          <w:trHeight w:val="1441"/>
          <w:jc w:val="center"/>
        </w:trPr>
        <w:tc>
          <w:tcPr>
            <w:tcW w:w="993" w:type="dxa"/>
            <w:vMerge/>
            <w:vAlign w:val="center"/>
          </w:tcPr>
          <w:p w14:paraId="46BCEDDE" w14:textId="77777777" w:rsidR="00D24AFF" w:rsidRDefault="00D24AFF">
            <w:pPr>
              <w:spacing w:line="600" w:lineRule="exact"/>
              <w:rPr>
                <w:rFonts w:ascii="Times New Roman" w:eastAsia="仿宋_GB2312" w:hAnsi="Times New Roman"/>
                <w:bCs/>
                <w:color w:val="000000"/>
                <w:sz w:val="32"/>
                <w:szCs w:val="32"/>
              </w:rPr>
            </w:pPr>
          </w:p>
        </w:tc>
        <w:tc>
          <w:tcPr>
            <w:tcW w:w="2268" w:type="dxa"/>
            <w:gridSpan w:val="5"/>
            <w:vAlign w:val="center"/>
          </w:tcPr>
          <w:p w14:paraId="58FE47AC"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二次引用权重</w:t>
            </w:r>
          </w:p>
        </w:tc>
        <w:tc>
          <w:tcPr>
            <w:tcW w:w="3685" w:type="dxa"/>
            <w:gridSpan w:val="3"/>
            <w:vAlign w:val="center"/>
          </w:tcPr>
          <w:p w14:paraId="2E106C26" w14:textId="77777777" w:rsidR="00D24AFF" w:rsidRDefault="00CC54D4">
            <w:pPr>
              <w:spacing w:line="6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被引频次总和，归</w:t>
            </w:r>
            <w:proofErr w:type="gramStart"/>
            <w:r>
              <w:rPr>
                <w:rFonts w:ascii="Times New Roman" w:eastAsia="仿宋_GB2312" w:hAnsi="Times New Roman"/>
                <w:bCs/>
                <w:color w:val="000000"/>
                <w:sz w:val="32"/>
                <w:szCs w:val="32"/>
              </w:rPr>
              <w:t>一</w:t>
            </w:r>
            <w:proofErr w:type="gramEnd"/>
            <w:r>
              <w:rPr>
                <w:rFonts w:ascii="Times New Roman" w:eastAsia="仿宋_GB2312" w:hAnsi="Times New Roman"/>
                <w:bCs/>
                <w:color w:val="000000"/>
                <w:sz w:val="32"/>
                <w:szCs w:val="32"/>
              </w:rPr>
              <w:t>后给权重</w:t>
            </w:r>
            <w:r>
              <w:rPr>
                <w:rFonts w:ascii="Times New Roman" w:eastAsia="仿宋_GB2312" w:hAnsi="Times New Roman"/>
                <w:bCs/>
                <w:color w:val="000000"/>
                <w:sz w:val="32"/>
                <w:szCs w:val="32"/>
              </w:rPr>
              <w:t>30%</w:t>
            </w:r>
            <w:r>
              <w:rPr>
                <w:rFonts w:ascii="Times New Roman" w:eastAsia="仿宋_GB2312" w:hAnsi="Times New Roman"/>
                <w:bCs/>
                <w:color w:val="000000"/>
                <w:sz w:val="32"/>
                <w:szCs w:val="32"/>
              </w:rPr>
              <w:t>。</w:t>
            </w:r>
          </w:p>
        </w:tc>
        <w:tc>
          <w:tcPr>
            <w:tcW w:w="1843" w:type="dxa"/>
            <w:gridSpan w:val="2"/>
            <w:vAlign w:val="center"/>
          </w:tcPr>
          <w:p w14:paraId="4711BF67" w14:textId="77777777" w:rsidR="00D24AFF" w:rsidRDefault="00D24AFF">
            <w:pPr>
              <w:spacing w:line="600" w:lineRule="exact"/>
              <w:jc w:val="center"/>
              <w:rPr>
                <w:rFonts w:ascii="Times New Roman" w:eastAsia="仿宋_GB2312" w:hAnsi="Times New Roman"/>
                <w:bCs/>
                <w:color w:val="000000"/>
                <w:sz w:val="32"/>
                <w:szCs w:val="32"/>
              </w:rPr>
            </w:pPr>
          </w:p>
        </w:tc>
      </w:tr>
      <w:tr w:rsidR="00D24AFF" w14:paraId="6096E63D" w14:textId="77777777">
        <w:trPr>
          <w:gridAfter w:val="2"/>
          <w:wAfter w:w="236" w:type="dxa"/>
          <w:trHeight w:val="1408"/>
          <w:jc w:val="center"/>
        </w:trPr>
        <w:tc>
          <w:tcPr>
            <w:tcW w:w="993" w:type="dxa"/>
            <w:vMerge/>
            <w:vAlign w:val="center"/>
          </w:tcPr>
          <w:p w14:paraId="0E089E74" w14:textId="77777777" w:rsidR="00D24AFF" w:rsidRDefault="00D24AFF">
            <w:pPr>
              <w:spacing w:line="600" w:lineRule="exact"/>
              <w:rPr>
                <w:rFonts w:ascii="Times New Roman" w:eastAsia="仿宋_GB2312" w:hAnsi="Times New Roman"/>
                <w:bCs/>
                <w:color w:val="000000"/>
                <w:sz w:val="32"/>
                <w:szCs w:val="32"/>
              </w:rPr>
            </w:pPr>
          </w:p>
        </w:tc>
        <w:tc>
          <w:tcPr>
            <w:tcW w:w="2268" w:type="dxa"/>
            <w:gridSpan w:val="5"/>
            <w:vAlign w:val="center"/>
          </w:tcPr>
          <w:p w14:paraId="7BB39384"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二次下载权重</w:t>
            </w:r>
          </w:p>
        </w:tc>
        <w:tc>
          <w:tcPr>
            <w:tcW w:w="3685" w:type="dxa"/>
            <w:gridSpan w:val="3"/>
            <w:vAlign w:val="center"/>
          </w:tcPr>
          <w:p w14:paraId="332F24D1" w14:textId="77777777" w:rsidR="00D24AFF" w:rsidRDefault="00CC54D4">
            <w:pPr>
              <w:spacing w:line="600" w:lineRule="exact"/>
              <w:rPr>
                <w:rFonts w:ascii="Times New Roman" w:eastAsia="仿宋_GB2312" w:hAnsi="Times New Roman"/>
                <w:bCs/>
                <w:color w:val="000000"/>
                <w:sz w:val="32"/>
                <w:szCs w:val="32"/>
              </w:rPr>
            </w:pPr>
            <w:r>
              <w:rPr>
                <w:rFonts w:ascii="Times New Roman" w:eastAsia="仿宋_GB2312" w:hAnsi="Times New Roman"/>
                <w:bCs/>
                <w:color w:val="000000"/>
                <w:sz w:val="32"/>
                <w:szCs w:val="32"/>
              </w:rPr>
              <w:t>下载频次总和，归</w:t>
            </w:r>
            <w:proofErr w:type="gramStart"/>
            <w:r>
              <w:rPr>
                <w:rFonts w:ascii="Times New Roman" w:eastAsia="仿宋_GB2312" w:hAnsi="Times New Roman"/>
                <w:bCs/>
                <w:color w:val="000000"/>
                <w:sz w:val="32"/>
                <w:szCs w:val="32"/>
              </w:rPr>
              <w:t>一</w:t>
            </w:r>
            <w:proofErr w:type="gramEnd"/>
            <w:r>
              <w:rPr>
                <w:rFonts w:ascii="Times New Roman" w:eastAsia="仿宋_GB2312" w:hAnsi="Times New Roman"/>
                <w:bCs/>
                <w:color w:val="000000"/>
                <w:sz w:val="32"/>
                <w:szCs w:val="32"/>
              </w:rPr>
              <w:t>后给权重</w:t>
            </w:r>
            <w:r>
              <w:rPr>
                <w:rFonts w:ascii="Times New Roman" w:eastAsia="仿宋_GB2312" w:hAnsi="Times New Roman"/>
                <w:bCs/>
                <w:color w:val="000000"/>
                <w:sz w:val="32"/>
                <w:szCs w:val="32"/>
              </w:rPr>
              <w:t>30%</w:t>
            </w:r>
            <w:r>
              <w:rPr>
                <w:rFonts w:ascii="Times New Roman" w:eastAsia="仿宋_GB2312" w:hAnsi="Times New Roman"/>
                <w:bCs/>
                <w:color w:val="000000"/>
                <w:sz w:val="32"/>
                <w:szCs w:val="32"/>
              </w:rPr>
              <w:t>。</w:t>
            </w:r>
          </w:p>
        </w:tc>
        <w:tc>
          <w:tcPr>
            <w:tcW w:w="1843" w:type="dxa"/>
            <w:gridSpan w:val="2"/>
            <w:vAlign w:val="center"/>
          </w:tcPr>
          <w:p w14:paraId="32A43520" w14:textId="77777777" w:rsidR="00D24AFF" w:rsidRDefault="00D24AFF">
            <w:pPr>
              <w:spacing w:line="600" w:lineRule="exact"/>
              <w:jc w:val="center"/>
              <w:rPr>
                <w:rFonts w:ascii="Times New Roman" w:eastAsia="仿宋_GB2312" w:hAnsi="Times New Roman"/>
                <w:bCs/>
                <w:color w:val="000000"/>
                <w:sz w:val="32"/>
                <w:szCs w:val="32"/>
              </w:rPr>
            </w:pPr>
          </w:p>
        </w:tc>
      </w:tr>
      <w:tr w:rsidR="00D24AFF" w14:paraId="0F6B1DA4" w14:textId="77777777">
        <w:trPr>
          <w:gridAfter w:val="1"/>
          <w:wAfter w:w="184" w:type="dxa"/>
          <w:trHeight w:val="682"/>
          <w:jc w:val="center"/>
        </w:trPr>
        <w:tc>
          <w:tcPr>
            <w:tcW w:w="8841" w:type="dxa"/>
            <w:gridSpan w:val="12"/>
            <w:tcBorders>
              <w:top w:val="nil"/>
              <w:left w:val="nil"/>
              <w:right w:val="nil"/>
            </w:tcBorders>
            <w:shd w:val="clear" w:color="auto" w:fill="FFFFFF"/>
            <w:vAlign w:val="center"/>
          </w:tcPr>
          <w:p w14:paraId="180B954B" w14:textId="77777777" w:rsidR="00D24AFF" w:rsidRDefault="00CC54D4">
            <w:pPr>
              <w:spacing w:line="600" w:lineRule="exact"/>
              <w:jc w:val="center"/>
              <w:rPr>
                <w:rFonts w:ascii="Times New Roman" w:eastAsia="方正小标宋简体" w:hAnsi="Times New Roman"/>
                <w:color w:val="000000"/>
                <w:sz w:val="20"/>
              </w:rPr>
            </w:pPr>
            <w:r>
              <w:rPr>
                <w:rFonts w:ascii="Times New Roman" w:eastAsia="方正小标宋简体" w:hAnsi="Times New Roman"/>
                <w:color w:val="000000"/>
                <w:sz w:val="32"/>
                <w:szCs w:val="40"/>
              </w:rPr>
              <w:lastRenderedPageBreak/>
              <w:t>表</w:t>
            </w:r>
            <w:r>
              <w:rPr>
                <w:rFonts w:ascii="Times New Roman" w:eastAsia="方正小标宋简体" w:hAnsi="Times New Roman"/>
                <w:color w:val="000000"/>
                <w:sz w:val="32"/>
                <w:szCs w:val="40"/>
              </w:rPr>
              <w:t xml:space="preserve">2 </w:t>
            </w:r>
            <w:r>
              <w:rPr>
                <w:rFonts w:ascii="Times New Roman" w:eastAsia="方正小标宋简体" w:hAnsi="Times New Roman"/>
                <w:color w:val="000000"/>
                <w:sz w:val="32"/>
                <w:szCs w:val="40"/>
              </w:rPr>
              <w:t>定性评分体系</w:t>
            </w:r>
            <w:r>
              <w:rPr>
                <w:rFonts w:ascii="Times New Roman" w:eastAsia="方正小标宋简体" w:hAnsi="Times New Roman"/>
                <w:color w:val="000000"/>
                <w:sz w:val="32"/>
                <w:szCs w:val="40"/>
              </w:rPr>
              <w:t>-</w:t>
            </w:r>
            <w:r>
              <w:rPr>
                <w:rFonts w:ascii="Times New Roman" w:eastAsia="方正小标宋简体" w:hAnsi="Times New Roman"/>
                <w:color w:val="000000"/>
                <w:sz w:val="32"/>
                <w:szCs w:val="40"/>
              </w:rPr>
              <w:t>研究型</w:t>
            </w:r>
          </w:p>
        </w:tc>
      </w:tr>
      <w:tr w:rsidR="00D24AFF" w14:paraId="3EAE6BDF" w14:textId="77777777">
        <w:trPr>
          <w:gridAfter w:val="1"/>
          <w:wAfter w:w="184" w:type="dxa"/>
          <w:trHeight w:val="75"/>
          <w:jc w:val="center"/>
        </w:trPr>
        <w:tc>
          <w:tcPr>
            <w:tcW w:w="1167" w:type="dxa"/>
            <w:gridSpan w:val="3"/>
            <w:vMerge w:val="restart"/>
            <w:vAlign w:val="center"/>
          </w:tcPr>
          <w:p w14:paraId="1B5CC352" w14:textId="77777777" w:rsidR="00D24AFF" w:rsidRDefault="00CC54D4">
            <w:pPr>
              <w:spacing w:line="600" w:lineRule="exact"/>
              <w:jc w:val="center"/>
              <w:rPr>
                <w:rFonts w:ascii="Times New Roman" w:eastAsia="黑体" w:hAnsi="Times New Roman"/>
                <w:color w:val="000000"/>
                <w:sz w:val="20"/>
                <w:szCs w:val="21"/>
              </w:rPr>
            </w:pPr>
            <w:r>
              <w:rPr>
                <w:rFonts w:ascii="Times New Roman" w:eastAsia="黑体" w:hAnsi="Times New Roman"/>
                <w:color w:val="000000"/>
                <w:sz w:val="20"/>
                <w:szCs w:val="21"/>
              </w:rPr>
              <w:t>一级指标</w:t>
            </w:r>
          </w:p>
        </w:tc>
        <w:tc>
          <w:tcPr>
            <w:tcW w:w="1545" w:type="dxa"/>
            <w:gridSpan w:val="2"/>
            <w:vMerge w:val="restart"/>
            <w:vAlign w:val="center"/>
          </w:tcPr>
          <w:p w14:paraId="50BDD0BE" w14:textId="77777777" w:rsidR="00D24AFF" w:rsidRDefault="00CC54D4">
            <w:pPr>
              <w:spacing w:line="600" w:lineRule="exact"/>
              <w:jc w:val="center"/>
              <w:rPr>
                <w:rFonts w:ascii="Times New Roman" w:eastAsia="黑体" w:hAnsi="Times New Roman"/>
                <w:color w:val="000000"/>
                <w:sz w:val="20"/>
                <w:szCs w:val="21"/>
              </w:rPr>
            </w:pPr>
            <w:r>
              <w:rPr>
                <w:rFonts w:ascii="Times New Roman" w:eastAsia="黑体" w:hAnsi="Times New Roman"/>
                <w:color w:val="000000"/>
                <w:sz w:val="20"/>
                <w:szCs w:val="21"/>
              </w:rPr>
              <w:t>二级指标</w:t>
            </w:r>
          </w:p>
        </w:tc>
        <w:tc>
          <w:tcPr>
            <w:tcW w:w="5085" w:type="dxa"/>
            <w:gridSpan w:val="5"/>
            <w:vAlign w:val="center"/>
          </w:tcPr>
          <w:p w14:paraId="1CFDEC75" w14:textId="77777777" w:rsidR="00D24AFF" w:rsidRDefault="00CC54D4">
            <w:pPr>
              <w:spacing w:line="600" w:lineRule="exact"/>
              <w:jc w:val="center"/>
              <w:rPr>
                <w:rFonts w:ascii="Times New Roman" w:eastAsia="黑体" w:hAnsi="Times New Roman"/>
                <w:color w:val="000000"/>
                <w:sz w:val="20"/>
              </w:rPr>
            </w:pPr>
            <w:r>
              <w:rPr>
                <w:rFonts w:ascii="Times New Roman" w:eastAsia="黑体" w:hAnsi="Times New Roman"/>
                <w:color w:val="000000"/>
                <w:sz w:val="20"/>
                <w:szCs w:val="21"/>
              </w:rPr>
              <w:t>参考项</w:t>
            </w:r>
          </w:p>
        </w:tc>
        <w:tc>
          <w:tcPr>
            <w:tcW w:w="1044" w:type="dxa"/>
            <w:gridSpan w:val="2"/>
            <w:vMerge w:val="restart"/>
            <w:vAlign w:val="center"/>
          </w:tcPr>
          <w:p w14:paraId="5464F967" w14:textId="77777777" w:rsidR="00D24AFF" w:rsidRDefault="00CC54D4">
            <w:pPr>
              <w:spacing w:line="600" w:lineRule="exact"/>
              <w:jc w:val="center"/>
              <w:rPr>
                <w:rFonts w:ascii="Times New Roman" w:eastAsia="黑体" w:hAnsi="Times New Roman"/>
                <w:color w:val="000000"/>
                <w:sz w:val="20"/>
                <w:szCs w:val="21"/>
              </w:rPr>
            </w:pPr>
            <w:r>
              <w:rPr>
                <w:rFonts w:ascii="Times New Roman" w:eastAsia="黑体" w:hAnsi="Times New Roman"/>
                <w:color w:val="000000"/>
                <w:sz w:val="20"/>
                <w:szCs w:val="21"/>
              </w:rPr>
              <w:t>对应</w:t>
            </w:r>
          </w:p>
          <w:p w14:paraId="40C0C766" w14:textId="77777777" w:rsidR="00D24AFF" w:rsidRDefault="00CC54D4">
            <w:pPr>
              <w:spacing w:line="600" w:lineRule="exact"/>
              <w:jc w:val="center"/>
              <w:rPr>
                <w:rFonts w:ascii="Times New Roman" w:eastAsia="黑体" w:hAnsi="Times New Roman"/>
                <w:color w:val="000000"/>
                <w:sz w:val="20"/>
              </w:rPr>
            </w:pPr>
            <w:r>
              <w:rPr>
                <w:rFonts w:ascii="Times New Roman" w:eastAsia="黑体" w:hAnsi="Times New Roman"/>
                <w:color w:val="000000"/>
                <w:sz w:val="20"/>
                <w:szCs w:val="21"/>
              </w:rPr>
              <w:t>分值</w:t>
            </w:r>
          </w:p>
        </w:tc>
      </w:tr>
      <w:tr w:rsidR="00D24AFF" w14:paraId="1CEE8F84" w14:textId="77777777">
        <w:trPr>
          <w:gridAfter w:val="1"/>
          <w:wAfter w:w="184" w:type="dxa"/>
          <w:trHeight w:val="75"/>
          <w:jc w:val="center"/>
        </w:trPr>
        <w:tc>
          <w:tcPr>
            <w:tcW w:w="1167" w:type="dxa"/>
            <w:gridSpan w:val="3"/>
            <w:vMerge/>
            <w:vAlign w:val="center"/>
          </w:tcPr>
          <w:p w14:paraId="446D1F5B" w14:textId="77777777" w:rsidR="00D24AFF" w:rsidRDefault="00D24AFF">
            <w:pPr>
              <w:spacing w:line="600" w:lineRule="exact"/>
              <w:jc w:val="center"/>
              <w:rPr>
                <w:rFonts w:ascii="Times New Roman" w:eastAsia="仿宋_GB2312" w:hAnsi="Times New Roman"/>
                <w:color w:val="000000"/>
                <w:sz w:val="18"/>
                <w:szCs w:val="21"/>
              </w:rPr>
            </w:pPr>
          </w:p>
        </w:tc>
        <w:tc>
          <w:tcPr>
            <w:tcW w:w="1545" w:type="dxa"/>
            <w:gridSpan w:val="2"/>
            <w:vMerge/>
            <w:vAlign w:val="center"/>
          </w:tcPr>
          <w:p w14:paraId="2958BBA1" w14:textId="77777777" w:rsidR="00D24AFF" w:rsidRDefault="00D24AFF">
            <w:pPr>
              <w:spacing w:line="600" w:lineRule="exact"/>
              <w:jc w:val="center"/>
              <w:rPr>
                <w:rFonts w:ascii="Times New Roman" w:eastAsia="仿宋_GB2312" w:hAnsi="Times New Roman"/>
                <w:color w:val="000000"/>
                <w:sz w:val="18"/>
                <w:szCs w:val="21"/>
              </w:rPr>
            </w:pPr>
          </w:p>
        </w:tc>
        <w:tc>
          <w:tcPr>
            <w:tcW w:w="735" w:type="dxa"/>
            <w:gridSpan w:val="2"/>
            <w:vAlign w:val="center"/>
          </w:tcPr>
          <w:p w14:paraId="4C22D399" w14:textId="77777777" w:rsidR="00D24AFF" w:rsidRDefault="00CC54D4">
            <w:pPr>
              <w:spacing w:line="600" w:lineRule="exact"/>
              <w:jc w:val="center"/>
              <w:rPr>
                <w:rFonts w:ascii="Times New Roman" w:eastAsia="黑体" w:hAnsi="Times New Roman"/>
                <w:color w:val="000000"/>
                <w:sz w:val="20"/>
                <w:szCs w:val="21"/>
              </w:rPr>
            </w:pPr>
            <w:r>
              <w:rPr>
                <w:rFonts w:ascii="Times New Roman" w:eastAsia="黑体" w:hAnsi="Times New Roman"/>
                <w:color w:val="000000"/>
                <w:sz w:val="20"/>
                <w:szCs w:val="21"/>
              </w:rPr>
              <w:t>等级</w:t>
            </w:r>
          </w:p>
        </w:tc>
        <w:tc>
          <w:tcPr>
            <w:tcW w:w="4350" w:type="dxa"/>
            <w:gridSpan w:val="3"/>
            <w:vAlign w:val="center"/>
          </w:tcPr>
          <w:p w14:paraId="6F1C72B0" w14:textId="77777777" w:rsidR="00D24AFF" w:rsidRDefault="00CC54D4">
            <w:pPr>
              <w:spacing w:line="600" w:lineRule="exact"/>
              <w:jc w:val="center"/>
              <w:rPr>
                <w:rFonts w:ascii="Times New Roman" w:eastAsia="黑体" w:hAnsi="Times New Roman"/>
                <w:color w:val="000000"/>
                <w:sz w:val="20"/>
                <w:szCs w:val="21"/>
              </w:rPr>
            </w:pPr>
            <w:r>
              <w:rPr>
                <w:rFonts w:ascii="Times New Roman" w:eastAsia="黑体" w:hAnsi="Times New Roman"/>
                <w:color w:val="000000"/>
                <w:sz w:val="20"/>
                <w:szCs w:val="21"/>
              </w:rPr>
              <w:t>要求</w:t>
            </w:r>
          </w:p>
        </w:tc>
        <w:tc>
          <w:tcPr>
            <w:tcW w:w="1044" w:type="dxa"/>
            <w:gridSpan w:val="2"/>
            <w:vMerge/>
            <w:vAlign w:val="center"/>
          </w:tcPr>
          <w:p w14:paraId="3168CF89" w14:textId="77777777" w:rsidR="00D24AFF" w:rsidRDefault="00D24AFF">
            <w:pPr>
              <w:spacing w:line="600" w:lineRule="exact"/>
              <w:jc w:val="center"/>
              <w:rPr>
                <w:rFonts w:ascii="Times New Roman" w:eastAsia="黑体" w:hAnsi="Times New Roman"/>
                <w:color w:val="000000"/>
                <w:sz w:val="18"/>
                <w:szCs w:val="21"/>
              </w:rPr>
            </w:pPr>
          </w:p>
        </w:tc>
      </w:tr>
      <w:tr w:rsidR="00D24AFF" w14:paraId="2B674121" w14:textId="77777777">
        <w:trPr>
          <w:gridAfter w:val="1"/>
          <w:wAfter w:w="184" w:type="dxa"/>
          <w:trHeight w:val="158"/>
          <w:jc w:val="center"/>
        </w:trPr>
        <w:tc>
          <w:tcPr>
            <w:tcW w:w="1167" w:type="dxa"/>
            <w:gridSpan w:val="3"/>
            <w:vMerge w:val="restart"/>
            <w:vAlign w:val="center"/>
          </w:tcPr>
          <w:p w14:paraId="07047F24" w14:textId="77777777" w:rsidR="00D24AFF" w:rsidRDefault="00CC54D4">
            <w:pPr>
              <w:spacing w:line="600" w:lineRule="exact"/>
              <w:jc w:val="center"/>
              <w:rPr>
                <w:rFonts w:ascii="Times New Roman" w:hAnsi="Times New Roman"/>
                <w:color w:val="000000"/>
                <w:sz w:val="18"/>
                <w:szCs w:val="21"/>
              </w:rPr>
            </w:pPr>
            <w:r>
              <w:rPr>
                <w:rFonts w:ascii="Times New Roman" w:hAnsi="Times New Roman"/>
                <w:bCs/>
                <w:color w:val="000000"/>
                <w:sz w:val="18"/>
                <w:szCs w:val="21"/>
              </w:rPr>
              <w:t>学术内容和水平（</w:t>
            </w:r>
            <w:r>
              <w:rPr>
                <w:rFonts w:ascii="Times New Roman" w:hAnsi="Times New Roman"/>
                <w:bCs/>
                <w:color w:val="000000"/>
                <w:sz w:val="18"/>
                <w:szCs w:val="21"/>
              </w:rPr>
              <w:t>90%</w:t>
            </w:r>
            <w:r>
              <w:rPr>
                <w:rFonts w:ascii="Times New Roman" w:hAnsi="Times New Roman"/>
                <w:bCs/>
                <w:color w:val="000000"/>
                <w:sz w:val="18"/>
                <w:szCs w:val="21"/>
              </w:rPr>
              <w:t>）</w:t>
            </w:r>
          </w:p>
        </w:tc>
        <w:tc>
          <w:tcPr>
            <w:tcW w:w="1545" w:type="dxa"/>
            <w:gridSpan w:val="2"/>
            <w:vMerge w:val="restart"/>
            <w:vAlign w:val="center"/>
          </w:tcPr>
          <w:p w14:paraId="528E46CB" w14:textId="77777777" w:rsidR="00D24AFF" w:rsidRDefault="00CC54D4">
            <w:pPr>
              <w:spacing w:line="600" w:lineRule="exact"/>
              <w:jc w:val="center"/>
              <w:rPr>
                <w:rFonts w:ascii="Times New Roman" w:hAnsi="Times New Roman"/>
                <w:color w:val="000000"/>
                <w:sz w:val="18"/>
                <w:szCs w:val="21"/>
              </w:rPr>
            </w:pPr>
            <w:r>
              <w:rPr>
                <w:rFonts w:ascii="Times New Roman" w:hAnsi="Times New Roman"/>
                <w:bCs/>
                <w:color w:val="000000"/>
                <w:sz w:val="18"/>
                <w:szCs w:val="21"/>
              </w:rPr>
              <w:t>选题的重要性</w:t>
            </w:r>
          </w:p>
        </w:tc>
        <w:tc>
          <w:tcPr>
            <w:tcW w:w="735" w:type="dxa"/>
            <w:gridSpan w:val="2"/>
            <w:vAlign w:val="center"/>
          </w:tcPr>
          <w:p w14:paraId="373EB4DC" w14:textId="77777777" w:rsidR="00D24AFF" w:rsidRDefault="00CC54D4">
            <w:pPr>
              <w:spacing w:line="240" w:lineRule="exact"/>
              <w:jc w:val="center"/>
              <w:rPr>
                <w:rFonts w:ascii="Times New Roman" w:hAnsi="Times New Roman"/>
                <w:color w:val="000000"/>
                <w:sz w:val="18"/>
              </w:rPr>
            </w:pPr>
            <w:r>
              <w:rPr>
                <w:rFonts w:ascii="Times New Roman" w:hAnsi="Times New Roman"/>
                <w:color w:val="000000"/>
                <w:sz w:val="18"/>
                <w:szCs w:val="21"/>
              </w:rPr>
              <w:t>A</w:t>
            </w:r>
          </w:p>
        </w:tc>
        <w:tc>
          <w:tcPr>
            <w:tcW w:w="4350" w:type="dxa"/>
            <w:gridSpan w:val="3"/>
            <w:vAlign w:val="center"/>
          </w:tcPr>
          <w:p w14:paraId="7BAD30F6" w14:textId="77777777" w:rsidR="00D24AFF" w:rsidRDefault="00CC54D4">
            <w:pPr>
              <w:spacing w:line="240" w:lineRule="exact"/>
              <w:jc w:val="left"/>
              <w:rPr>
                <w:rFonts w:ascii="Times New Roman" w:hAnsi="Times New Roman"/>
                <w:color w:val="000000"/>
                <w:sz w:val="18"/>
              </w:rPr>
            </w:pPr>
            <w:r>
              <w:rPr>
                <w:rFonts w:ascii="Times New Roman" w:hAnsi="Times New Roman"/>
                <w:color w:val="000000"/>
                <w:sz w:val="18"/>
                <w:szCs w:val="21"/>
              </w:rPr>
              <w:t>面向国家科技发展的战略需求、支撑学科发展的基础课题或行业发展亟需解决的重大问题，具备前瞻性、时效性、涵盖性、领先性。</w:t>
            </w:r>
          </w:p>
        </w:tc>
        <w:tc>
          <w:tcPr>
            <w:tcW w:w="1044" w:type="dxa"/>
            <w:gridSpan w:val="2"/>
            <w:vAlign w:val="center"/>
          </w:tcPr>
          <w:p w14:paraId="3E3C53CA" w14:textId="77777777" w:rsidR="00D24AFF" w:rsidRDefault="00CC54D4">
            <w:pPr>
              <w:spacing w:line="600" w:lineRule="exact"/>
              <w:jc w:val="center"/>
              <w:rPr>
                <w:rFonts w:ascii="Times New Roman" w:hAnsi="Times New Roman"/>
                <w:color w:val="000000"/>
                <w:sz w:val="18"/>
              </w:rPr>
            </w:pPr>
            <w:r>
              <w:rPr>
                <w:rFonts w:ascii="Times New Roman" w:hAnsi="Times New Roman"/>
                <w:color w:val="000000"/>
                <w:sz w:val="18"/>
                <w:szCs w:val="21"/>
              </w:rPr>
              <w:t>16~20</w:t>
            </w:r>
          </w:p>
        </w:tc>
      </w:tr>
      <w:tr w:rsidR="00D24AFF" w14:paraId="08112950" w14:textId="77777777">
        <w:trPr>
          <w:gridAfter w:val="1"/>
          <w:wAfter w:w="184" w:type="dxa"/>
          <w:trHeight w:val="157"/>
          <w:jc w:val="center"/>
        </w:trPr>
        <w:tc>
          <w:tcPr>
            <w:tcW w:w="1167" w:type="dxa"/>
            <w:gridSpan w:val="3"/>
            <w:vMerge/>
            <w:vAlign w:val="center"/>
          </w:tcPr>
          <w:p w14:paraId="333A532D" w14:textId="77777777" w:rsidR="00D24AFF" w:rsidRDefault="00D24AFF">
            <w:pPr>
              <w:spacing w:line="600" w:lineRule="exact"/>
              <w:jc w:val="center"/>
              <w:rPr>
                <w:rFonts w:ascii="Times New Roman" w:hAnsi="Times New Roman"/>
                <w:bCs/>
                <w:color w:val="000000"/>
                <w:sz w:val="18"/>
                <w:szCs w:val="21"/>
              </w:rPr>
            </w:pPr>
          </w:p>
        </w:tc>
        <w:tc>
          <w:tcPr>
            <w:tcW w:w="1545" w:type="dxa"/>
            <w:gridSpan w:val="2"/>
            <w:vMerge/>
            <w:vAlign w:val="center"/>
          </w:tcPr>
          <w:p w14:paraId="5F95A410" w14:textId="77777777" w:rsidR="00D24AFF" w:rsidRDefault="00D24AFF">
            <w:pPr>
              <w:spacing w:line="600" w:lineRule="exact"/>
              <w:jc w:val="center"/>
              <w:rPr>
                <w:rFonts w:ascii="Times New Roman" w:hAnsi="Times New Roman"/>
                <w:bCs/>
                <w:color w:val="000000"/>
                <w:sz w:val="18"/>
                <w:szCs w:val="21"/>
              </w:rPr>
            </w:pPr>
          </w:p>
        </w:tc>
        <w:tc>
          <w:tcPr>
            <w:tcW w:w="735" w:type="dxa"/>
            <w:gridSpan w:val="2"/>
            <w:vAlign w:val="center"/>
          </w:tcPr>
          <w:p w14:paraId="0AC3D4EE"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B</w:t>
            </w:r>
          </w:p>
        </w:tc>
        <w:tc>
          <w:tcPr>
            <w:tcW w:w="4350" w:type="dxa"/>
            <w:gridSpan w:val="3"/>
            <w:vAlign w:val="center"/>
          </w:tcPr>
          <w:p w14:paraId="15CC5D25"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面向学科发展的重要方向或行业发展面临的重要问题，具备前瞻性、时效性、涵盖性、领先性。</w:t>
            </w:r>
          </w:p>
        </w:tc>
        <w:tc>
          <w:tcPr>
            <w:tcW w:w="1044" w:type="dxa"/>
            <w:gridSpan w:val="2"/>
            <w:vAlign w:val="center"/>
          </w:tcPr>
          <w:p w14:paraId="5C1E0E23"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11~15</w:t>
            </w:r>
          </w:p>
        </w:tc>
      </w:tr>
      <w:tr w:rsidR="00D24AFF" w14:paraId="1B6D694E" w14:textId="77777777">
        <w:trPr>
          <w:gridAfter w:val="1"/>
          <w:wAfter w:w="184" w:type="dxa"/>
          <w:trHeight w:val="157"/>
          <w:jc w:val="center"/>
        </w:trPr>
        <w:tc>
          <w:tcPr>
            <w:tcW w:w="1167" w:type="dxa"/>
            <w:gridSpan w:val="3"/>
            <w:vMerge/>
            <w:vAlign w:val="center"/>
          </w:tcPr>
          <w:p w14:paraId="156A9850" w14:textId="77777777" w:rsidR="00D24AFF" w:rsidRDefault="00D24AFF">
            <w:pPr>
              <w:spacing w:line="600" w:lineRule="exact"/>
              <w:jc w:val="center"/>
              <w:rPr>
                <w:rFonts w:ascii="Times New Roman" w:hAnsi="Times New Roman"/>
                <w:bCs/>
                <w:color w:val="000000"/>
                <w:sz w:val="18"/>
                <w:szCs w:val="21"/>
              </w:rPr>
            </w:pPr>
          </w:p>
        </w:tc>
        <w:tc>
          <w:tcPr>
            <w:tcW w:w="1545" w:type="dxa"/>
            <w:gridSpan w:val="2"/>
            <w:vMerge/>
            <w:vAlign w:val="center"/>
          </w:tcPr>
          <w:p w14:paraId="3561FC05" w14:textId="77777777" w:rsidR="00D24AFF" w:rsidRDefault="00D24AFF">
            <w:pPr>
              <w:spacing w:line="600" w:lineRule="exact"/>
              <w:jc w:val="center"/>
              <w:rPr>
                <w:rFonts w:ascii="Times New Roman" w:hAnsi="Times New Roman"/>
                <w:bCs/>
                <w:color w:val="000000"/>
                <w:sz w:val="18"/>
                <w:szCs w:val="21"/>
              </w:rPr>
            </w:pPr>
          </w:p>
        </w:tc>
        <w:tc>
          <w:tcPr>
            <w:tcW w:w="735" w:type="dxa"/>
            <w:gridSpan w:val="2"/>
            <w:vAlign w:val="center"/>
          </w:tcPr>
          <w:p w14:paraId="0B0E262F"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C</w:t>
            </w:r>
          </w:p>
        </w:tc>
        <w:tc>
          <w:tcPr>
            <w:tcW w:w="4350" w:type="dxa"/>
            <w:gridSpan w:val="3"/>
            <w:vAlign w:val="center"/>
          </w:tcPr>
          <w:p w14:paraId="38DB8ECC"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面向国内外公认的重要和热点研究方向，具备前瞻性、时效性、涵盖性、领先性。</w:t>
            </w:r>
          </w:p>
        </w:tc>
        <w:tc>
          <w:tcPr>
            <w:tcW w:w="1044" w:type="dxa"/>
            <w:gridSpan w:val="2"/>
            <w:vAlign w:val="center"/>
          </w:tcPr>
          <w:p w14:paraId="5A020B03"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5~10</w:t>
            </w:r>
          </w:p>
        </w:tc>
      </w:tr>
      <w:tr w:rsidR="00D24AFF" w14:paraId="5956A3DC" w14:textId="77777777">
        <w:trPr>
          <w:gridAfter w:val="1"/>
          <w:wAfter w:w="184" w:type="dxa"/>
          <w:trHeight w:val="498"/>
          <w:jc w:val="center"/>
        </w:trPr>
        <w:tc>
          <w:tcPr>
            <w:tcW w:w="1167" w:type="dxa"/>
            <w:gridSpan w:val="3"/>
            <w:vMerge/>
            <w:vAlign w:val="center"/>
          </w:tcPr>
          <w:p w14:paraId="4F6D8870" w14:textId="77777777" w:rsidR="00D24AFF" w:rsidRDefault="00D24AFF">
            <w:pPr>
              <w:spacing w:line="600" w:lineRule="exact"/>
              <w:rPr>
                <w:rFonts w:ascii="Times New Roman" w:hAnsi="Times New Roman"/>
                <w:color w:val="000000"/>
                <w:sz w:val="18"/>
                <w:szCs w:val="21"/>
              </w:rPr>
            </w:pPr>
          </w:p>
        </w:tc>
        <w:tc>
          <w:tcPr>
            <w:tcW w:w="1545" w:type="dxa"/>
            <w:gridSpan w:val="2"/>
            <w:vMerge w:val="restart"/>
            <w:vAlign w:val="center"/>
          </w:tcPr>
          <w:p w14:paraId="381805E2" w14:textId="77777777" w:rsidR="00D24AFF" w:rsidRDefault="00CC54D4">
            <w:pPr>
              <w:spacing w:line="600" w:lineRule="exact"/>
              <w:jc w:val="center"/>
              <w:rPr>
                <w:rFonts w:ascii="Times New Roman" w:hAnsi="Times New Roman"/>
                <w:bCs/>
                <w:color w:val="000000"/>
                <w:sz w:val="18"/>
                <w:szCs w:val="21"/>
              </w:rPr>
            </w:pPr>
            <w:r>
              <w:rPr>
                <w:rFonts w:ascii="Times New Roman" w:hAnsi="Times New Roman"/>
                <w:bCs/>
                <w:color w:val="000000"/>
                <w:sz w:val="18"/>
                <w:szCs w:val="21"/>
              </w:rPr>
              <w:t>内容的创新性</w:t>
            </w:r>
          </w:p>
        </w:tc>
        <w:tc>
          <w:tcPr>
            <w:tcW w:w="735" w:type="dxa"/>
            <w:gridSpan w:val="2"/>
            <w:vMerge w:val="restart"/>
            <w:vAlign w:val="center"/>
          </w:tcPr>
          <w:p w14:paraId="0CA676BD" w14:textId="77777777" w:rsidR="00D24AFF" w:rsidRDefault="00CC54D4">
            <w:pPr>
              <w:spacing w:line="240" w:lineRule="exact"/>
              <w:jc w:val="center"/>
              <w:rPr>
                <w:rFonts w:ascii="Times New Roman" w:hAnsi="Times New Roman"/>
                <w:color w:val="000000"/>
                <w:sz w:val="18"/>
              </w:rPr>
            </w:pPr>
            <w:r>
              <w:rPr>
                <w:rFonts w:ascii="Times New Roman" w:hAnsi="Times New Roman"/>
                <w:color w:val="000000"/>
                <w:sz w:val="18"/>
                <w:szCs w:val="21"/>
              </w:rPr>
              <w:t>A</w:t>
            </w:r>
          </w:p>
        </w:tc>
        <w:tc>
          <w:tcPr>
            <w:tcW w:w="3213" w:type="dxa"/>
            <w:vMerge w:val="restart"/>
            <w:vAlign w:val="center"/>
          </w:tcPr>
          <w:p w14:paraId="6925D6A6" w14:textId="77777777" w:rsidR="00D24AFF" w:rsidRDefault="00CC54D4">
            <w:pPr>
              <w:spacing w:line="240" w:lineRule="exact"/>
              <w:jc w:val="left"/>
              <w:rPr>
                <w:rFonts w:ascii="Times New Roman" w:hAnsi="Times New Roman"/>
                <w:color w:val="000000"/>
                <w:sz w:val="18"/>
              </w:rPr>
            </w:pPr>
            <w:r>
              <w:rPr>
                <w:rFonts w:ascii="Times New Roman" w:hAnsi="Times New Roman"/>
                <w:color w:val="000000"/>
                <w:sz w:val="18"/>
                <w:szCs w:val="21"/>
              </w:rPr>
              <w:t>在某个学科领域上取得了原创性、根本性的进展。</w:t>
            </w:r>
          </w:p>
        </w:tc>
        <w:tc>
          <w:tcPr>
            <w:tcW w:w="1137" w:type="dxa"/>
            <w:gridSpan w:val="2"/>
            <w:vAlign w:val="center"/>
          </w:tcPr>
          <w:p w14:paraId="6BA87BAA"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国际领先</w:t>
            </w:r>
          </w:p>
        </w:tc>
        <w:tc>
          <w:tcPr>
            <w:tcW w:w="1044" w:type="dxa"/>
            <w:gridSpan w:val="2"/>
            <w:vAlign w:val="center"/>
          </w:tcPr>
          <w:p w14:paraId="399D0F09" w14:textId="77777777" w:rsidR="00D24AFF" w:rsidRDefault="00CC54D4">
            <w:pPr>
              <w:spacing w:line="600" w:lineRule="exact"/>
              <w:jc w:val="center"/>
              <w:rPr>
                <w:rFonts w:ascii="Times New Roman" w:hAnsi="Times New Roman"/>
                <w:color w:val="000000"/>
                <w:sz w:val="18"/>
              </w:rPr>
            </w:pPr>
            <w:r>
              <w:rPr>
                <w:rFonts w:ascii="Times New Roman" w:hAnsi="Times New Roman"/>
                <w:color w:val="000000"/>
                <w:sz w:val="18"/>
                <w:szCs w:val="21"/>
              </w:rPr>
              <w:t>36~40</w:t>
            </w:r>
          </w:p>
        </w:tc>
      </w:tr>
      <w:tr w:rsidR="00D24AFF" w14:paraId="6E8A01CF" w14:textId="77777777">
        <w:trPr>
          <w:gridAfter w:val="1"/>
          <w:wAfter w:w="184" w:type="dxa"/>
          <w:trHeight w:val="549"/>
          <w:jc w:val="center"/>
        </w:trPr>
        <w:tc>
          <w:tcPr>
            <w:tcW w:w="1167" w:type="dxa"/>
            <w:gridSpan w:val="3"/>
            <w:vMerge/>
            <w:vAlign w:val="center"/>
          </w:tcPr>
          <w:p w14:paraId="6BD915B9" w14:textId="77777777" w:rsidR="00D24AFF" w:rsidRDefault="00D24AFF">
            <w:pPr>
              <w:spacing w:line="600" w:lineRule="exact"/>
              <w:jc w:val="left"/>
              <w:rPr>
                <w:rFonts w:ascii="Times New Roman" w:hAnsi="Times New Roman"/>
                <w:color w:val="000000"/>
                <w:sz w:val="18"/>
              </w:rPr>
            </w:pPr>
          </w:p>
        </w:tc>
        <w:tc>
          <w:tcPr>
            <w:tcW w:w="1545" w:type="dxa"/>
            <w:gridSpan w:val="2"/>
            <w:vMerge/>
            <w:vAlign w:val="center"/>
          </w:tcPr>
          <w:p w14:paraId="02233C24" w14:textId="77777777" w:rsidR="00D24AFF" w:rsidRDefault="00D24AFF">
            <w:pPr>
              <w:spacing w:line="600" w:lineRule="exact"/>
              <w:jc w:val="left"/>
              <w:rPr>
                <w:rFonts w:ascii="Times New Roman" w:hAnsi="Times New Roman"/>
                <w:color w:val="000000"/>
                <w:sz w:val="18"/>
              </w:rPr>
            </w:pPr>
          </w:p>
        </w:tc>
        <w:tc>
          <w:tcPr>
            <w:tcW w:w="735" w:type="dxa"/>
            <w:gridSpan w:val="2"/>
            <w:vMerge/>
            <w:vAlign w:val="center"/>
          </w:tcPr>
          <w:p w14:paraId="1CC6F424" w14:textId="77777777" w:rsidR="00D24AFF" w:rsidRDefault="00D24AFF">
            <w:pPr>
              <w:spacing w:line="240" w:lineRule="exact"/>
              <w:jc w:val="left"/>
              <w:rPr>
                <w:rFonts w:ascii="Times New Roman" w:hAnsi="Times New Roman"/>
                <w:color w:val="000000"/>
                <w:sz w:val="18"/>
              </w:rPr>
            </w:pPr>
          </w:p>
        </w:tc>
        <w:tc>
          <w:tcPr>
            <w:tcW w:w="3213" w:type="dxa"/>
            <w:vMerge/>
            <w:vAlign w:val="center"/>
          </w:tcPr>
          <w:p w14:paraId="1790D25D" w14:textId="77777777" w:rsidR="00D24AFF" w:rsidRDefault="00D24AFF">
            <w:pPr>
              <w:spacing w:line="240" w:lineRule="exact"/>
              <w:jc w:val="left"/>
              <w:rPr>
                <w:rFonts w:ascii="Times New Roman" w:hAnsi="Times New Roman"/>
                <w:color w:val="000000"/>
                <w:sz w:val="18"/>
              </w:rPr>
            </w:pPr>
          </w:p>
        </w:tc>
        <w:tc>
          <w:tcPr>
            <w:tcW w:w="1137" w:type="dxa"/>
            <w:gridSpan w:val="2"/>
            <w:vAlign w:val="center"/>
          </w:tcPr>
          <w:p w14:paraId="29E2F6A1"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国际先进</w:t>
            </w:r>
          </w:p>
        </w:tc>
        <w:tc>
          <w:tcPr>
            <w:tcW w:w="1044" w:type="dxa"/>
            <w:gridSpan w:val="2"/>
            <w:vAlign w:val="center"/>
          </w:tcPr>
          <w:p w14:paraId="031C44DA"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26~35</w:t>
            </w:r>
          </w:p>
        </w:tc>
      </w:tr>
      <w:tr w:rsidR="00D24AFF" w14:paraId="37C11464" w14:textId="77777777">
        <w:trPr>
          <w:gridAfter w:val="1"/>
          <w:wAfter w:w="184" w:type="dxa"/>
          <w:trHeight w:val="429"/>
          <w:jc w:val="center"/>
        </w:trPr>
        <w:tc>
          <w:tcPr>
            <w:tcW w:w="1167" w:type="dxa"/>
            <w:gridSpan w:val="3"/>
            <w:vMerge/>
            <w:vAlign w:val="center"/>
          </w:tcPr>
          <w:p w14:paraId="3F745F42" w14:textId="77777777" w:rsidR="00D24AFF" w:rsidRDefault="00D24AFF">
            <w:pPr>
              <w:spacing w:line="600" w:lineRule="exact"/>
              <w:rPr>
                <w:rFonts w:ascii="Times New Roman" w:hAnsi="Times New Roman"/>
                <w:color w:val="000000"/>
                <w:sz w:val="18"/>
                <w:szCs w:val="21"/>
              </w:rPr>
            </w:pPr>
          </w:p>
        </w:tc>
        <w:tc>
          <w:tcPr>
            <w:tcW w:w="1545" w:type="dxa"/>
            <w:gridSpan w:val="2"/>
            <w:vMerge/>
            <w:vAlign w:val="center"/>
          </w:tcPr>
          <w:p w14:paraId="6E773786" w14:textId="77777777" w:rsidR="00D24AFF" w:rsidRDefault="00D24AFF">
            <w:pPr>
              <w:spacing w:line="600" w:lineRule="exact"/>
              <w:jc w:val="center"/>
              <w:rPr>
                <w:rFonts w:ascii="Times New Roman" w:hAnsi="Times New Roman"/>
                <w:bCs/>
                <w:color w:val="000000"/>
                <w:sz w:val="18"/>
                <w:szCs w:val="21"/>
              </w:rPr>
            </w:pPr>
          </w:p>
        </w:tc>
        <w:tc>
          <w:tcPr>
            <w:tcW w:w="735" w:type="dxa"/>
            <w:gridSpan w:val="2"/>
            <w:vMerge w:val="restart"/>
            <w:vAlign w:val="center"/>
          </w:tcPr>
          <w:p w14:paraId="6E99F3A2"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B</w:t>
            </w:r>
          </w:p>
        </w:tc>
        <w:tc>
          <w:tcPr>
            <w:tcW w:w="3213" w:type="dxa"/>
            <w:vMerge w:val="restart"/>
            <w:vAlign w:val="center"/>
          </w:tcPr>
          <w:p w14:paraId="232473AE"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在某个学科领域中的某个研究方向上取得了原创性、根本性的进展。</w:t>
            </w:r>
          </w:p>
        </w:tc>
        <w:tc>
          <w:tcPr>
            <w:tcW w:w="1137" w:type="dxa"/>
            <w:gridSpan w:val="2"/>
            <w:vAlign w:val="center"/>
          </w:tcPr>
          <w:p w14:paraId="4876AE5B"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国际领先</w:t>
            </w:r>
          </w:p>
        </w:tc>
        <w:tc>
          <w:tcPr>
            <w:tcW w:w="1044" w:type="dxa"/>
            <w:gridSpan w:val="2"/>
            <w:vAlign w:val="center"/>
          </w:tcPr>
          <w:p w14:paraId="0C0BB23A"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20~25</w:t>
            </w:r>
          </w:p>
        </w:tc>
      </w:tr>
      <w:tr w:rsidR="00D24AFF" w14:paraId="110A42E5" w14:textId="77777777">
        <w:trPr>
          <w:gridAfter w:val="1"/>
          <w:wAfter w:w="184" w:type="dxa"/>
          <w:trHeight w:val="549"/>
          <w:jc w:val="center"/>
        </w:trPr>
        <w:tc>
          <w:tcPr>
            <w:tcW w:w="1167" w:type="dxa"/>
            <w:gridSpan w:val="3"/>
            <w:vMerge/>
            <w:vAlign w:val="center"/>
          </w:tcPr>
          <w:p w14:paraId="05381873" w14:textId="77777777" w:rsidR="00D24AFF" w:rsidRDefault="00D24AFF">
            <w:pPr>
              <w:spacing w:line="600" w:lineRule="exact"/>
              <w:jc w:val="left"/>
              <w:rPr>
                <w:rFonts w:ascii="Times New Roman" w:hAnsi="Times New Roman"/>
                <w:color w:val="000000"/>
                <w:sz w:val="18"/>
              </w:rPr>
            </w:pPr>
          </w:p>
        </w:tc>
        <w:tc>
          <w:tcPr>
            <w:tcW w:w="1545" w:type="dxa"/>
            <w:gridSpan w:val="2"/>
            <w:vMerge/>
            <w:vAlign w:val="center"/>
          </w:tcPr>
          <w:p w14:paraId="540E9844" w14:textId="77777777" w:rsidR="00D24AFF" w:rsidRDefault="00D24AFF">
            <w:pPr>
              <w:spacing w:line="600" w:lineRule="exact"/>
              <w:jc w:val="left"/>
              <w:rPr>
                <w:rFonts w:ascii="Times New Roman" w:hAnsi="Times New Roman"/>
                <w:color w:val="000000"/>
                <w:sz w:val="18"/>
              </w:rPr>
            </w:pPr>
          </w:p>
        </w:tc>
        <w:tc>
          <w:tcPr>
            <w:tcW w:w="735" w:type="dxa"/>
            <w:gridSpan w:val="2"/>
            <w:vMerge/>
            <w:tcBorders>
              <w:bottom w:val="single" w:sz="6" w:space="0" w:color="auto"/>
            </w:tcBorders>
            <w:vAlign w:val="center"/>
          </w:tcPr>
          <w:p w14:paraId="4EF45426" w14:textId="77777777" w:rsidR="00D24AFF" w:rsidRDefault="00D24AFF">
            <w:pPr>
              <w:spacing w:line="240" w:lineRule="exact"/>
              <w:jc w:val="left"/>
              <w:rPr>
                <w:rFonts w:ascii="Times New Roman" w:hAnsi="Times New Roman"/>
                <w:color w:val="000000"/>
                <w:sz w:val="18"/>
              </w:rPr>
            </w:pPr>
          </w:p>
        </w:tc>
        <w:tc>
          <w:tcPr>
            <w:tcW w:w="3213" w:type="dxa"/>
            <w:vMerge/>
            <w:tcBorders>
              <w:bottom w:val="single" w:sz="6" w:space="0" w:color="auto"/>
            </w:tcBorders>
            <w:vAlign w:val="center"/>
          </w:tcPr>
          <w:p w14:paraId="0E4D21C8" w14:textId="77777777" w:rsidR="00D24AFF" w:rsidRDefault="00D24AFF">
            <w:pPr>
              <w:spacing w:line="240" w:lineRule="exact"/>
              <w:jc w:val="left"/>
              <w:rPr>
                <w:rFonts w:ascii="Times New Roman" w:hAnsi="Times New Roman"/>
                <w:color w:val="000000"/>
                <w:sz w:val="18"/>
              </w:rPr>
            </w:pPr>
          </w:p>
        </w:tc>
        <w:tc>
          <w:tcPr>
            <w:tcW w:w="1137" w:type="dxa"/>
            <w:gridSpan w:val="2"/>
            <w:tcBorders>
              <w:bottom w:val="single" w:sz="6" w:space="0" w:color="auto"/>
            </w:tcBorders>
            <w:vAlign w:val="center"/>
          </w:tcPr>
          <w:p w14:paraId="40159F51"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国际先进</w:t>
            </w:r>
          </w:p>
        </w:tc>
        <w:tc>
          <w:tcPr>
            <w:tcW w:w="1044" w:type="dxa"/>
            <w:gridSpan w:val="2"/>
            <w:tcBorders>
              <w:bottom w:val="single" w:sz="6" w:space="0" w:color="auto"/>
            </w:tcBorders>
            <w:vAlign w:val="center"/>
          </w:tcPr>
          <w:p w14:paraId="188DBFF8"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16~19</w:t>
            </w:r>
          </w:p>
        </w:tc>
      </w:tr>
      <w:tr w:rsidR="00D24AFF" w14:paraId="2B9A8F01" w14:textId="77777777">
        <w:trPr>
          <w:gridAfter w:val="1"/>
          <w:wAfter w:w="184" w:type="dxa"/>
          <w:trHeight w:val="527"/>
          <w:jc w:val="center"/>
        </w:trPr>
        <w:tc>
          <w:tcPr>
            <w:tcW w:w="1167" w:type="dxa"/>
            <w:gridSpan w:val="3"/>
            <w:vMerge/>
            <w:tcBorders>
              <w:top w:val="single" w:sz="6" w:space="0" w:color="auto"/>
            </w:tcBorders>
            <w:vAlign w:val="center"/>
          </w:tcPr>
          <w:p w14:paraId="51B50EB3" w14:textId="77777777" w:rsidR="00D24AFF" w:rsidRDefault="00D24AFF">
            <w:pPr>
              <w:spacing w:line="600" w:lineRule="exact"/>
              <w:rPr>
                <w:rFonts w:ascii="Times New Roman" w:hAnsi="Times New Roman"/>
                <w:color w:val="000000"/>
                <w:sz w:val="18"/>
                <w:szCs w:val="21"/>
              </w:rPr>
            </w:pPr>
          </w:p>
        </w:tc>
        <w:tc>
          <w:tcPr>
            <w:tcW w:w="1545" w:type="dxa"/>
            <w:gridSpan w:val="2"/>
            <w:vMerge/>
            <w:tcBorders>
              <w:top w:val="single" w:sz="6" w:space="0" w:color="auto"/>
            </w:tcBorders>
            <w:vAlign w:val="center"/>
          </w:tcPr>
          <w:p w14:paraId="2A01DC1E" w14:textId="77777777" w:rsidR="00D24AFF" w:rsidRDefault="00D24AFF">
            <w:pPr>
              <w:spacing w:line="600" w:lineRule="exact"/>
              <w:jc w:val="center"/>
              <w:rPr>
                <w:rFonts w:ascii="Times New Roman" w:hAnsi="Times New Roman"/>
                <w:bCs/>
                <w:color w:val="000000"/>
                <w:sz w:val="18"/>
                <w:szCs w:val="21"/>
              </w:rPr>
            </w:pPr>
          </w:p>
        </w:tc>
        <w:tc>
          <w:tcPr>
            <w:tcW w:w="735" w:type="dxa"/>
            <w:gridSpan w:val="2"/>
            <w:vMerge w:val="restart"/>
            <w:tcBorders>
              <w:top w:val="single" w:sz="6" w:space="0" w:color="auto"/>
            </w:tcBorders>
            <w:vAlign w:val="center"/>
          </w:tcPr>
          <w:p w14:paraId="246644BD"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C</w:t>
            </w:r>
          </w:p>
        </w:tc>
        <w:tc>
          <w:tcPr>
            <w:tcW w:w="3213" w:type="dxa"/>
            <w:vMerge w:val="restart"/>
            <w:tcBorders>
              <w:top w:val="single" w:sz="6" w:space="0" w:color="auto"/>
            </w:tcBorders>
            <w:vAlign w:val="center"/>
          </w:tcPr>
          <w:p w14:paraId="0267D856"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在某个学科领域内某个研究方向的某个具体问题上取得了原创性的、根本性的进展。</w:t>
            </w:r>
          </w:p>
        </w:tc>
        <w:tc>
          <w:tcPr>
            <w:tcW w:w="1137" w:type="dxa"/>
            <w:gridSpan w:val="2"/>
            <w:tcBorders>
              <w:top w:val="single" w:sz="6" w:space="0" w:color="auto"/>
            </w:tcBorders>
            <w:vAlign w:val="center"/>
          </w:tcPr>
          <w:p w14:paraId="64E30E44"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国际领先</w:t>
            </w:r>
          </w:p>
        </w:tc>
        <w:tc>
          <w:tcPr>
            <w:tcW w:w="1044" w:type="dxa"/>
            <w:gridSpan w:val="2"/>
            <w:tcBorders>
              <w:top w:val="single" w:sz="6" w:space="0" w:color="auto"/>
            </w:tcBorders>
            <w:vAlign w:val="center"/>
          </w:tcPr>
          <w:p w14:paraId="75A73B4A"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10~15</w:t>
            </w:r>
          </w:p>
        </w:tc>
      </w:tr>
      <w:tr w:rsidR="00D24AFF" w14:paraId="0870D95F" w14:textId="77777777">
        <w:trPr>
          <w:gridAfter w:val="1"/>
          <w:wAfter w:w="184" w:type="dxa"/>
          <w:trHeight w:val="405"/>
          <w:jc w:val="center"/>
        </w:trPr>
        <w:tc>
          <w:tcPr>
            <w:tcW w:w="1167" w:type="dxa"/>
            <w:gridSpan w:val="3"/>
            <w:vMerge/>
            <w:vAlign w:val="center"/>
          </w:tcPr>
          <w:p w14:paraId="636CDC6C" w14:textId="77777777" w:rsidR="00D24AFF" w:rsidRDefault="00D24AFF">
            <w:pPr>
              <w:spacing w:line="600" w:lineRule="exact"/>
              <w:jc w:val="left"/>
              <w:rPr>
                <w:rFonts w:ascii="Times New Roman" w:hAnsi="Times New Roman"/>
                <w:color w:val="000000"/>
                <w:sz w:val="18"/>
              </w:rPr>
            </w:pPr>
          </w:p>
        </w:tc>
        <w:tc>
          <w:tcPr>
            <w:tcW w:w="1545" w:type="dxa"/>
            <w:gridSpan w:val="2"/>
            <w:vMerge/>
            <w:vAlign w:val="center"/>
          </w:tcPr>
          <w:p w14:paraId="62510AE0" w14:textId="77777777" w:rsidR="00D24AFF" w:rsidRDefault="00D24AFF">
            <w:pPr>
              <w:spacing w:line="600" w:lineRule="exact"/>
              <w:jc w:val="left"/>
              <w:rPr>
                <w:rFonts w:ascii="Times New Roman" w:hAnsi="Times New Roman"/>
                <w:color w:val="000000"/>
                <w:sz w:val="18"/>
              </w:rPr>
            </w:pPr>
          </w:p>
        </w:tc>
        <w:tc>
          <w:tcPr>
            <w:tcW w:w="735" w:type="dxa"/>
            <w:gridSpan w:val="2"/>
            <w:vMerge/>
            <w:tcBorders>
              <w:top w:val="single" w:sz="6" w:space="0" w:color="auto"/>
            </w:tcBorders>
            <w:vAlign w:val="center"/>
          </w:tcPr>
          <w:p w14:paraId="5A1B25F0" w14:textId="77777777" w:rsidR="00D24AFF" w:rsidRDefault="00D24AFF">
            <w:pPr>
              <w:spacing w:line="240" w:lineRule="exact"/>
              <w:jc w:val="left"/>
              <w:rPr>
                <w:rFonts w:ascii="Times New Roman" w:hAnsi="Times New Roman"/>
                <w:color w:val="000000"/>
                <w:sz w:val="18"/>
              </w:rPr>
            </w:pPr>
          </w:p>
        </w:tc>
        <w:tc>
          <w:tcPr>
            <w:tcW w:w="3213" w:type="dxa"/>
            <w:vMerge/>
            <w:tcBorders>
              <w:top w:val="single" w:sz="6" w:space="0" w:color="auto"/>
            </w:tcBorders>
            <w:vAlign w:val="center"/>
          </w:tcPr>
          <w:p w14:paraId="5E8B5DF9" w14:textId="77777777" w:rsidR="00D24AFF" w:rsidRDefault="00D24AFF">
            <w:pPr>
              <w:spacing w:line="240" w:lineRule="exact"/>
              <w:jc w:val="left"/>
              <w:rPr>
                <w:rFonts w:ascii="Times New Roman" w:hAnsi="Times New Roman"/>
                <w:color w:val="000000"/>
                <w:sz w:val="18"/>
              </w:rPr>
            </w:pPr>
          </w:p>
        </w:tc>
        <w:tc>
          <w:tcPr>
            <w:tcW w:w="1137" w:type="dxa"/>
            <w:gridSpan w:val="2"/>
            <w:vAlign w:val="center"/>
          </w:tcPr>
          <w:p w14:paraId="23A107FA"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国际先进</w:t>
            </w:r>
          </w:p>
        </w:tc>
        <w:tc>
          <w:tcPr>
            <w:tcW w:w="1044" w:type="dxa"/>
            <w:gridSpan w:val="2"/>
            <w:vAlign w:val="center"/>
          </w:tcPr>
          <w:p w14:paraId="73BBD896"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5~9</w:t>
            </w:r>
          </w:p>
        </w:tc>
      </w:tr>
      <w:tr w:rsidR="00D24AFF" w14:paraId="7985EA53" w14:textId="77777777">
        <w:trPr>
          <w:gridAfter w:val="1"/>
          <w:wAfter w:w="184" w:type="dxa"/>
          <w:trHeight w:val="208"/>
          <w:jc w:val="center"/>
        </w:trPr>
        <w:tc>
          <w:tcPr>
            <w:tcW w:w="1167" w:type="dxa"/>
            <w:gridSpan w:val="3"/>
            <w:vMerge/>
            <w:vAlign w:val="center"/>
          </w:tcPr>
          <w:p w14:paraId="6C4FD41F" w14:textId="77777777" w:rsidR="00D24AFF" w:rsidRDefault="00D24AFF">
            <w:pPr>
              <w:spacing w:line="600" w:lineRule="exact"/>
              <w:rPr>
                <w:rFonts w:ascii="Times New Roman" w:hAnsi="Times New Roman"/>
                <w:color w:val="000000"/>
                <w:sz w:val="18"/>
                <w:szCs w:val="21"/>
              </w:rPr>
            </w:pPr>
          </w:p>
        </w:tc>
        <w:tc>
          <w:tcPr>
            <w:tcW w:w="1545" w:type="dxa"/>
            <w:gridSpan w:val="2"/>
            <w:vMerge w:val="restart"/>
            <w:vAlign w:val="center"/>
          </w:tcPr>
          <w:p w14:paraId="4D899575" w14:textId="77777777" w:rsidR="00D24AFF" w:rsidRDefault="00CC54D4">
            <w:pPr>
              <w:spacing w:line="600" w:lineRule="exact"/>
              <w:jc w:val="center"/>
              <w:rPr>
                <w:rFonts w:ascii="Times New Roman" w:hAnsi="Times New Roman"/>
                <w:bCs/>
                <w:color w:val="000000"/>
                <w:sz w:val="18"/>
                <w:szCs w:val="21"/>
              </w:rPr>
            </w:pPr>
            <w:r>
              <w:rPr>
                <w:rFonts w:ascii="Times New Roman" w:hAnsi="Times New Roman"/>
                <w:bCs/>
                <w:color w:val="000000"/>
                <w:sz w:val="18"/>
                <w:szCs w:val="21"/>
              </w:rPr>
              <w:t>研究的科学性</w:t>
            </w:r>
          </w:p>
        </w:tc>
        <w:tc>
          <w:tcPr>
            <w:tcW w:w="735" w:type="dxa"/>
            <w:gridSpan w:val="2"/>
            <w:vAlign w:val="center"/>
          </w:tcPr>
          <w:p w14:paraId="32378E6F" w14:textId="77777777" w:rsidR="00D24AFF" w:rsidRDefault="00CC54D4">
            <w:pPr>
              <w:spacing w:line="240" w:lineRule="exact"/>
              <w:jc w:val="center"/>
              <w:rPr>
                <w:rFonts w:ascii="Times New Roman" w:hAnsi="Times New Roman"/>
                <w:color w:val="000000"/>
                <w:sz w:val="18"/>
              </w:rPr>
            </w:pPr>
            <w:r>
              <w:rPr>
                <w:rFonts w:ascii="Times New Roman" w:hAnsi="Times New Roman"/>
                <w:color w:val="000000"/>
                <w:sz w:val="18"/>
                <w:szCs w:val="21"/>
              </w:rPr>
              <w:t>A</w:t>
            </w:r>
          </w:p>
        </w:tc>
        <w:tc>
          <w:tcPr>
            <w:tcW w:w="4350" w:type="dxa"/>
            <w:gridSpan w:val="3"/>
            <w:vAlign w:val="center"/>
          </w:tcPr>
          <w:p w14:paraId="18600581" w14:textId="77777777" w:rsidR="00D24AFF" w:rsidRDefault="00CC54D4">
            <w:pPr>
              <w:spacing w:line="240" w:lineRule="exact"/>
              <w:jc w:val="left"/>
              <w:rPr>
                <w:rFonts w:ascii="Times New Roman" w:hAnsi="Times New Roman"/>
                <w:color w:val="000000"/>
                <w:sz w:val="18"/>
              </w:rPr>
            </w:pPr>
            <w:r>
              <w:rPr>
                <w:rFonts w:ascii="Times New Roman" w:hAnsi="Times New Roman"/>
                <w:color w:val="000000"/>
                <w:sz w:val="18"/>
                <w:szCs w:val="21"/>
              </w:rPr>
              <w:t>内容设计科学合理、论证严谨、逻辑性强、数据和支持资料充分可靠、引用前人研究成果完整。</w:t>
            </w:r>
          </w:p>
        </w:tc>
        <w:tc>
          <w:tcPr>
            <w:tcW w:w="1044" w:type="dxa"/>
            <w:gridSpan w:val="2"/>
            <w:vAlign w:val="center"/>
          </w:tcPr>
          <w:p w14:paraId="36BFDCC9" w14:textId="77777777" w:rsidR="00D24AFF" w:rsidRDefault="00CC54D4">
            <w:pPr>
              <w:spacing w:line="600" w:lineRule="exact"/>
              <w:jc w:val="center"/>
              <w:rPr>
                <w:rFonts w:ascii="Times New Roman" w:hAnsi="Times New Roman"/>
                <w:color w:val="000000"/>
                <w:sz w:val="18"/>
              </w:rPr>
            </w:pPr>
            <w:r>
              <w:rPr>
                <w:rFonts w:ascii="Times New Roman" w:hAnsi="Times New Roman"/>
                <w:color w:val="000000"/>
                <w:sz w:val="18"/>
                <w:szCs w:val="21"/>
              </w:rPr>
              <w:t>10~15</w:t>
            </w:r>
          </w:p>
        </w:tc>
      </w:tr>
      <w:tr w:rsidR="00D24AFF" w14:paraId="29B0C460" w14:textId="77777777">
        <w:trPr>
          <w:gridAfter w:val="1"/>
          <w:wAfter w:w="184" w:type="dxa"/>
          <w:trHeight w:val="208"/>
          <w:jc w:val="center"/>
        </w:trPr>
        <w:tc>
          <w:tcPr>
            <w:tcW w:w="1167" w:type="dxa"/>
            <w:gridSpan w:val="3"/>
            <w:vMerge/>
            <w:vAlign w:val="center"/>
          </w:tcPr>
          <w:p w14:paraId="217B7428" w14:textId="77777777" w:rsidR="00D24AFF" w:rsidRDefault="00D24AFF">
            <w:pPr>
              <w:spacing w:line="600" w:lineRule="exact"/>
              <w:rPr>
                <w:rFonts w:ascii="Times New Roman" w:hAnsi="Times New Roman"/>
                <w:color w:val="000000"/>
                <w:sz w:val="18"/>
                <w:szCs w:val="21"/>
              </w:rPr>
            </w:pPr>
          </w:p>
        </w:tc>
        <w:tc>
          <w:tcPr>
            <w:tcW w:w="1545" w:type="dxa"/>
            <w:gridSpan w:val="2"/>
            <w:vMerge/>
            <w:vAlign w:val="center"/>
          </w:tcPr>
          <w:p w14:paraId="1823DBB4" w14:textId="77777777" w:rsidR="00D24AFF" w:rsidRDefault="00D24AFF">
            <w:pPr>
              <w:spacing w:line="600" w:lineRule="exact"/>
              <w:jc w:val="center"/>
              <w:rPr>
                <w:rFonts w:ascii="Times New Roman" w:hAnsi="Times New Roman"/>
                <w:bCs/>
                <w:color w:val="000000"/>
                <w:sz w:val="18"/>
                <w:szCs w:val="21"/>
              </w:rPr>
            </w:pPr>
          </w:p>
        </w:tc>
        <w:tc>
          <w:tcPr>
            <w:tcW w:w="735" w:type="dxa"/>
            <w:gridSpan w:val="2"/>
            <w:vAlign w:val="center"/>
          </w:tcPr>
          <w:p w14:paraId="32B05292"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B</w:t>
            </w:r>
          </w:p>
        </w:tc>
        <w:tc>
          <w:tcPr>
            <w:tcW w:w="4350" w:type="dxa"/>
            <w:gridSpan w:val="3"/>
            <w:vAlign w:val="center"/>
          </w:tcPr>
          <w:p w14:paraId="315C7E23"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内容设计科学合理、论证严谨、逻辑性较强、数据和支持资料可靠、引用前人研究成果较为完整。</w:t>
            </w:r>
          </w:p>
        </w:tc>
        <w:tc>
          <w:tcPr>
            <w:tcW w:w="1044" w:type="dxa"/>
            <w:gridSpan w:val="2"/>
            <w:vAlign w:val="center"/>
          </w:tcPr>
          <w:p w14:paraId="445FC90D"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5~9</w:t>
            </w:r>
          </w:p>
        </w:tc>
      </w:tr>
      <w:tr w:rsidR="00D24AFF" w14:paraId="5B7DFE16" w14:textId="77777777">
        <w:trPr>
          <w:gridAfter w:val="1"/>
          <w:wAfter w:w="184" w:type="dxa"/>
          <w:trHeight w:val="1122"/>
          <w:jc w:val="center"/>
        </w:trPr>
        <w:tc>
          <w:tcPr>
            <w:tcW w:w="1167" w:type="dxa"/>
            <w:gridSpan w:val="3"/>
            <w:vMerge/>
            <w:vAlign w:val="center"/>
          </w:tcPr>
          <w:p w14:paraId="7D6A69BE" w14:textId="77777777" w:rsidR="00D24AFF" w:rsidRDefault="00D24AFF">
            <w:pPr>
              <w:spacing w:line="600" w:lineRule="exact"/>
              <w:jc w:val="center"/>
              <w:rPr>
                <w:rFonts w:ascii="Times New Roman" w:hAnsi="Times New Roman"/>
                <w:color w:val="000000"/>
                <w:sz w:val="18"/>
                <w:szCs w:val="21"/>
              </w:rPr>
            </w:pPr>
          </w:p>
        </w:tc>
        <w:tc>
          <w:tcPr>
            <w:tcW w:w="1545" w:type="dxa"/>
            <w:gridSpan w:val="2"/>
            <w:vMerge w:val="restart"/>
            <w:vAlign w:val="center"/>
          </w:tcPr>
          <w:p w14:paraId="76679A2D"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成果的应用性</w:t>
            </w:r>
          </w:p>
        </w:tc>
        <w:tc>
          <w:tcPr>
            <w:tcW w:w="735" w:type="dxa"/>
            <w:gridSpan w:val="2"/>
            <w:vAlign w:val="center"/>
          </w:tcPr>
          <w:p w14:paraId="7F92AFCC" w14:textId="77777777" w:rsidR="00D24AFF" w:rsidRDefault="00CC54D4">
            <w:pPr>
              <w:spacing w:line="240" w:lineRule="exact"/>
              <w:jc w:val="center"/>
              <w:rPr>
                <w:rFonts w:ascii="Times New Roman" w:hAnsi="Times New Roman"/>
                <w:color w:val="000000"/>
                <w:sz w:val="18"/>
              </w:rPr>
            </w:pPr>
            <w:r>
              <w:rPr>
                <w:rFonts w:ascii="Times New Roman" w:hAnsi="Times New Roman"/>
                <w:color w:val="000000"/>
                <w:sz w:val="18"/>
                <w:szCs w:val="21"/>
              </w:rPr>
              <w:t>A</w:t>
            </w:r>
          </w:p>
        </w:tc>
        <w:tc>
          <w:tcPr>
            <w:tcW w:w="4350" w:type="dxa"/>
            <w:gridSpan w:val="3"/>
            <w:vAlign w:val="center"/>
          </w:tcPr>
          <w:p w14:paraId="396F2443" w14:textId="77777777" w:rsidR="00D24AFF" w:rsidRDefault="00CC54D4">
            <w:pPr>
              <w:spacing w:line="240" w:lineRule="exact"/>
              <w:jc w:val="left"/>
              <w:rPr>
                <w:rFonts w:ascii="Times New Roman" w:hAnsi="Times New Roman"/>
                <w:color w:val="000000"/>
                <w:sz w:val="18"/>
              </w:rPr>
            </w:pPr>
            <w:r>
              <w:rPr>
                <w:rFonts w:ascii="Times New Roman" w:hAnsi="Times New Roman"/>
                <w:color w:val="000000"/>
                <w:sz w:val="18"/>
                <w:szCs w:val="21"/>
              </w:rPr>
              <w:t>学科领域内可广泛应用和大规模推广，已转化或潜在的经济和社会价值很高，具有国际范围内广泛应用前景。</w:t>
            </w:r>
          </w:p>
        </w:tc>
        <w:tc>
          <w:tcPr>
            <w:tcW w:w="1044" w:type="dxa"/>
            <w:gridSpan w:val="2"/>
            <w:vAlign w:val="center"/>
          </w:tcPr>
          <w:p w14:paraId="77CF019E" w14:textId="77777777" w:rsidR="00D24AFF" w:rsidRDefault="00CC54D4">
            <w:pPr>
              <w:spacing w:line="600" w:lineRule="exact"/>
              <w:jc w:val="center"/>
              <w:rPr>
                <w:rFonts w:ascii="Times New Roman" w:hAnsi="Times New Roman"/>
                <w:color w:val="000000"/>
                <w:sz w:val="18"/>
              </w:rPr>
            </w:pPr>
            <w:r>
              <w:rPr>
                <w:rFonts w:ascii="Times New Roman" w:hAnsi="Times New Roman"/>
                <w:color w:val="000000"/>
                <w:sz w:val="18"/>
              </w:rPr>
              <w:t>11~15</w:t>
            </w:r>
          </w:p>
        </w:tc>
      </w:tr>
      <w:tr w:rsidR="00D24AFF" w14:paraId="7337D77D" w14:textId="77777777">
        <w:trPr>
          <w:gridAfter w:val="1"/>
          <w:wAfter w:w="184" w:type="dxa"/>
          <w:trHeight w:val="782"/>
          <w:jc w:val="center"/>
        </w:trPr>
        <w:tc>
          <w:tcPr>
            <w:tcW w:w="1167" w:type="dxa"/>
            <w:gridSpan w:val="3"/>
            <w:vMerge/>
            <w:vAlign w:val="center"/>
          </w:tcPr>
          <w:p w14:paraId="0B897D38" w14:textId="77777777" w:rsidR="00D24AFF" w:rsidRDefault="00D24AFF">
            <w:pPr>
              <w:spacing w:line="600" w:lineRule="exact"/>
              <w:jc w:val="center"/>
              <w:rPr>
                <w:rFonts w:ascii="Times New Roman" w:hAnsi="Times New Roman"/>
                <w:color w:val="000000"/>
                <w:sz w:val="18"/>
                <w:szCs w:val="21"/>
              </w:rPr>
            </w:pPr>
          </w:p>
        </w:tc>
        <w:tc>
          <w:tcPr>
            <w:tcW w:w="1545" w:type="dxa"/>
            <w:gridSpan w:val="2"/>
            <w:vMerge/>
            <w:vAlign w:val="center"/>
          </w:tcPr>
          <w:p w14:paraId="34957E0C" w14:textId="77777777" w:rsidR="00D24AFF" w:rsidRDefault="00D24AFF">
            <w:pPr>
              <w:spacing w:line="600" w:lineRule="exact"/>
              <w:jc w:val="center"/>
              <w:rPr>
                <w:rFonts w:ascii="Times New Roman" w:hAnsi="Times New Roman"/>
                <w:color w:val="000000"/>
                <w:sz w:val="18"/>
                <w:szCs w:val="21"/>
              </w:rPr>
            </w:pPr>
          </w:p>
        </w:tc>
        <w:tc>
          <w:tcPr>
            <w:tcW w:w="735" w:type="dxa"/>
            <w:gridSpan w:val="2"/>
            <w:vAlign w:val="center"/>
          </w:tcPr>
          <w:p w14:paraId="66116EBE"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B</w:t>
            </w:r>
          </w:p>
        </w:tc>
        <w:tc>
          <w:tcPr>
            <w:tcW w:w="4350" w:type="dxa"/>
            <w:gridSpan w:val="3"/>
            <w:vAlign w:val="center"/>
          </w:tcPr>
          <w:p w14:paraId="45D26DCD"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学科领域内可广泛应用和大规模推广，已转化或潜在的经济和社会价值较高，具有国内广泛应用前景。</w:t>
            </w:r>
          </w:p>
        </w:tc>
        <w:tc>
          <w:tcPr>
            <w:tcW w:w="1044" w:type="dxa"/>
            <w:gridSpan w:val="2"/>
            <w:vAlign w:val="center"/>
          </w:tcPr>
          <w:p w14:paraId="34CB3833"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6~10</w:t>
            </w:r>
          </w:p>
        </w:tc>
      </w:tr>
      <w:tr w:rsidR="00D24AFF" w14:paraId="4E2450FB" w14:textId="77777777">
        <w:trPr>
          <w:gridAfter w:val="1"/>
          <w:wAfter w:w="184" w:type="dxa"/>
          <w:trHeight w:val="737"/>
          <w:jc w:val="center"/>
        </w:trPr>
        <w:tc>
          <w:tcPr>
            <w:tcW w:w="1167" w:type="dxa"/>
            <w:gridSpan w:val="3"/>
            <w:vMerge/>
            <w:tcBorders>
              <w:bottom w:val="single" w:sz="4" w:space="0" w:color="auto"/>
            </w:tcBorders>
            <w:vAlign w:val="center"/>
          </w:tcPr>
          <w:p w14:paraId="4052C3E1" w14:textId="77777777" w:rsidR="00D24AFF" w:rsidRDefault="00D24AFF">
            <w:pPr>
              <w:spacing w:line="600" w:lineRule="exact"/>
              <w:jc w:val="center"/>
              <w:rPr>
                <w:rFonts w:ascii="Times New Roman" w:hAnsi="Times New Roman"/>
                <w:color w:val="000000"/>
                <w:sz w:val="18"/>
                <w:szCs w:val="21"/>
              </w:rPr>
            </w:pPr>
          </w:p>
        </w:tc>
        <w:tc>
          <w:tcPr>
            <w:tcW w:w="1545" w:type="dxa"/>
            <w:gridSpan w:val="2"/>
            <w:vMerge/>
            <w:tcBorders>
              <w:bottom w:val="single" w:sz="4" w:space="0" w:color="auto"/>
            </w:tcBorders>
            <w:vAlign w:val="center"/>
          </w:tcPr>
          <w:p w14:paraId="4231771D" w14:textId="77777777" w:rsidR="00D24AFF" w:rsidRDefault="00D24AFF">
            <w:pPr>
              <w:spacing w:line="600" w:lineRule="exact"/>
              <w:jc w:val="center"/>
              <w:rPr>
                <w:rFonts w:ascii="Times New Roman" w:hAnsi="Times New Roman"/>
                <w:color w:val="000000"/>
                <w:sz w:val="18"/>
                <w:szCs w:val="21"/>
              </w:rPr>
            </w:pPr>
          </w:p>
        </w:tc>
        <w:tc>
          <w:tcPr>
            <w:tcW w:w="735" w:type="dxa"/>
            <w:gridSpan w:val="2"/>
            <w:tcBorders>
              <w:bottom w:val="single" w:sz="4" w:space="0" w:color="auto"/>
            </w:tcBorders>
            <w:vAlign w:val="center"/>
          </w:tcPr>
          <w:p w14:paraId="7EB36E58" w14:textId="77777777" w:rsidR="00D24AFF" w:rsidRDefault="00CC54D4">
            <w:pPr>
              <w:spacing w:line="240" w:lineRule="exact"/>
              <w:jc w:val="center"/>
              <w:rPr>
                <w:rFonts w:ascii="Times New Roman" w:hAnsi="Times New Roman"/>
                <w:color w:val="000000"/>
                <w:sz w:val="18"/>
                <w:szCs w:val="21"/>
              </w:rPr>
            </w:pPr>
            <w:r>
              <w:rPr>
                <w:rFonts w:ascii="Times New Roman" w:hAnsi="Times New Roman"/>
                <w:color w:val="000000"/>
                <w:sz w:val="18"/>
                <w:szCs w:val="21"/>
              </w:rPr>
              <w:t>C</w:t>
            </w:r>
          </w:p>
        </w:tc>
        <w:tc>
          <w:tcPr>
            <w:tcW w:w="4350" w:type="dxa"/>
            <w:gridSpan w:val="3"/>
            <w:tcBorders>
              <w:bottom w:val="single" w:sz="4" w:space="0" w:color="auto"/>
            </w:tcBorders>
            <w:vAlign w:val="center"/>
          </w:tcPr>
          <w:p w14:paraId="449D2BDE" w14:textId="77777777" w:rsidR="00D24AFF" w:rsidRDefault="00CC54D4">
            <w:pPr>
              <w:spacing w:line="240" w:lineRule="exact"/>
              <w:jc w:val="left"/>
              <w:rPr>
                <w:rFonts w:ascii="Times New Roman" w:hAnsi="Times New Roman"/>
                <w:color w:val="000000"/>
                <w:sz w:val="18"/>
                <w:szCs w:val="21"/>
              </w:rPr>
            </w:pPr>
            <w:r>
              <w:rPr>
                <w:rFonts w:ascii="Times New Roman" w:hAnsi="Times New Roman"/>
                <w:color w:val="000000"/>
                <w:sz w:val="18"/>
                <w:szCs w:val="21"/>
              </w:rPr>
              <w:t>学科领域内可应用和推广，有一定潜在的经济和社会价值，具有一定范围内应用前景。</w:t>
            </w:r>
          </w:p>
        </w:tc>
        <w:tc>
          <w:tcPr>
            <w:tcW w:w="1044" w:type="dxa"/>
            <w:gridSpan w:val="2"/>
            <w:tcBorders>
              <w:bottom w:val="single" w:sz="4" w:space="0" w:color="auto"/>
            </w:tcBorders>
            <w:vAlign w:val="center"/>
          </w:tcPr>
          <w:p w14:paraId="5CA8ADE7" w14:textId="77777777" w:rsidR="00D24AFF" w:rsidRDefault="00CC54D4">
            <w:pPr>
              <w:spacing w:line="600" w:lineRule="exact"/>
              <w:jc w:val="center"/>
              <w:rPr>
                <w:rFonts w:ascii="Times New Roman" w:hAnsi="Times New Roman"/>
                <w:color w:val="000000"/>
                <w:sz w:val="18"/>
                <w:szCs w:val="21"/>
              </w:rPr>
            </w:pPr>
            <w:r>
              <w:rPr>
                <w:rFonts w:ascii="Times New Roman" w:hAnsi="Times New Roman"/>
                <w:color w:val="000000"/>
                <w:sz w:val="18"/>
                <w:szCs w:val="21"/>
              </w:rPr>
              <w:t>3~5</w:t>
            </w:r>
          </w:p>
        </w:tc>
      </w:tr>
      <w:tr w:rsidR="00D24AFF" w14:paraId="5F57F979" w14:textId="77777777">
        <w:trPr>
          <w:gridAfter w:val="1"/>
          <w:wAfter w:w="184" w:type="dxa"/>
          <w:trHeight w:val="1550"/>
          <w:jc w:val="center"/>
        </w:trPr>
        <w:tc>
          <w:tcPr>
            <w:tcW w:w="1167" w:type="dxa"/>
            <w:gridSpan w:val="3"/>
            <w:vMerge w:val="restart"/>
            <w:vAlign w:val="center"/>
          </w:tcPr>
          <w:p w14:paraId="624393C2" w14:textId="77777777" w:rsidR="00D24AFF" w:rsidRDefault="00CC54D4">
            <w:pPr>
              <w:spacing w:line="600" w:lineRule="exact"/>
              <w:jc w:val="center"/>
              <w:rPr>
                <w:rFonts w:ascii="Times New Roman" w:hAnsi="Times New Roman"/>
                <w:bCs/>
                <w:color w:val="000000"/>
                <w:sz w:val="18"/>
                <w:szCs w:val="21"/>
              </w:rPr>
            </w:pPr>
            <w:r>
              <w:rPr>
                <w:rFonts w:ascii="Times New Roman" w:hAnsi="Times New Roman"/>
                <w:bCs/>
                <w:color w:val="000000"/>
                <w:sz w:val="18"/>
                <w:szCs w:val="21"/>
              </w:rPr>
              <w:t>写作质量与规范（</w:t>
            </w:r>
            <w:r>
              <w:rPr>
                <w:rFonts w:ascii="Times New Roman" w:hAnsi="Times New Roman"/>
                <w:bCs/>
                <w:color w:val="000000"/>
                <w:sz w:val="18"/>
                <w:szCs w:val="21"/>
              </w:rPr>
              <w:t>10%</w:t>
            </w:r>
            <w:r>
              <w:rPr>
                <w:rFonts w:ascii="Times New Roman" w:hAnsi="Times New Roman"/>
                <w:bCs/>
                <w:color w:val="000000"/>
                <w:sz w:val="18"/>
                <w:szCs w:val="21"/>
              </w:rPr>
              <w:t>）</w:t>
            </w:r>
          </w:p>
        </w:tc>
        <w:tc>
          <w:tcPr>
            <w:tcW w:w="1545" w:type="dxa"/>
            <w:gridSpan w:val="2"/>
            <w:vAlign w:val="center"/>
          </w:tcPr>
          <w:p w14:paraId="55886CDD" w14:textId="77777777" w:rsidR="00D24AFF" w:rsidRDefault="00CC54D4">
            <w:pPr>
              <w:spacing w:line="600" w:lineRule="exact"/>
              <w:jc w:val="center"/>
              <w:rPr>
                <w:rFonts w:ascii="Times New Roman" w:hAnsi="Times New Roman"/>
                <w:bCs/>
                <w:color w:val="000000"/>
                <w:sz w:val="18"/>
                <w:szCs w:val="21"/>
              </w:rPr>
            </w:pPr>
            <w:r>
              <w:rPr>
                <w:rFonts w:ascii="Times New Roman" w:hAnsi="Times New Roman"/>
                <w:bCs/>
                <w:color w:val="000000"/>
                <w:sz w:val="18"/>
                <w:szCs w:val="21"/>
              </w:rPr>
              <w:t>写作规范</w:t>
            </w:r>
          </w:p>
        </w:tc>
        <w:tc>
          <w:tcPr>
            <w:tcW w:w="5085" w:type="dxa"/>
            <w:gridSpan w:val="5"/>
            <w:vAlign w:val="center"/>
          </w:tcPr>
          <w:p w14:paraId="6DC54FFF" w14:textId="77777777" w:rsidR="00D24AFF" w:rsidRDefault="00CC54D4">
            <w:pPr>
              <w:spacing w:line="240" w:lineRule="exact"/>
              <w:jc w:val="left"/>
              <w:rPr>
                <w:rFonts w:ascii="Times New Roman" w:hAnsi="Times New Roman"/>
                <w:color w:val="000000"/>
                <w:sz w:val="18"/>
              </w:rPr>
            </w:pPr>
            <w:r>
              <w:rPr>
                <w:rFonts w:ascii="Times New Roman" w:hAnsi="Times New Roman"/>
                <w:bCs/>
                <w:color w:val="000000"/>
                <w:sz w:val="18"/>
                <w:szCs w:val="21"/>
              </w:rPr>
              <w:t>论文中专业用语规范（专业名词与术语、</w:t>
            </w:r>
            <w:r>
              <w:rPr>
                <w:rFonts w:ascii="Times New Roman" w:hAnsi="Times New Roman"/>
                <w:color w:val="000000"/>
                <w:sz w:val="18"/>
                <w:szCs w:val="21"/>
              </w:rPr>
              <w:t>计量单位、符号、缩略语</w:t>
            </w:r>
            <w:r>
              <w:rPr>
                <w:rFonts w:ascii="Times New Roman" w:hAnsi="Times New Roman"/>
                <w:bCs/>
                <w:color w:val="000000"/>
                <w:sz w:val="18"/>
                <w:szCs w:val="21"/>
              </w:rPr>
              <w:t>准确）；条理清晰（层次分明，逻辑严密）；论述严谨（论据充分，结论明确）；结构完整（符合科技论文要求）；参考文献引用规范</w:t>
            </w:r>
            <w:r>
              <w:rPr>
                <w:rFonts w:ascii="Times New Roman" w:hAnsi="Times New Roman"/>
                <w:color w:val="000000"/>
                <w:sz w:val="18"/>
              </w:rPr>
              <w:t>、</w:t>
            </w:r>
            <w:r>
              <w:rPr>
                <w:rFonts w:ascii="Times New Roman" w:hAnsi="Times New Roman"/>
                <w:bCs/>
                <w:color w:val="000000"/>
                <w:sz w:val="18"/>
                <w:szCs w:val="21"/>
              </w:rPr>
              <w:t>著录规范。</w:t>
            </w:r>
          </w:p>
        </w:tc>
        <w:tc>
          <w:tcPr>
            <w:tcW w:w="1044" w:type="dxa"/>
            <w:gridSpan w:val="2"/>
            <w:vAlign w:val="center"/>
          </w:tcPr>
          <w:p w14:paraId="459AD130" w14:textId="77777777" w:rsidR="00D24AFF" w:rsidRDefault="00CC54D4">
            <w:pPr>
              <w:spacing w:line="600" w:lineRule="exact"/>
              <w:jc w:val="center"/>
              <w:rPr>
                <w:rFonts w:ascii="Times New Roman" w:hAnsi="Times New Roman"/>
                <w:color w:val="000000"/>
                <w:sz w:val="18"/>
              </w:rPr>
            </w:pPr>
            <w:r>
              <w:rPr>
                <w:rFonts w:ascii="Times New Roman" w:hAnsi="Times New Roman"/>
                <w:bCs/>
                <w:color w:val="000000"/>
                <w:sz w:val="18"/>
                <w:szCs w:val="21"/>
              </w:rPr>
              <w:t>3~5</w:t>
            </w:r>
          </w:p>
        </w:tc>
      </w:tr>
      <w:tr w:rsidR="00D24AFF" w14:paraId="09C7213E" w14:textId="77777777">
        <w:trPr>
          <w:gridAfter w:val="1"/>
          <w:wAfter w:w="184" w:type="dxa"/>
          <w:trHeight w:val="878"/>
          <w:jc w:val="center"/>
        </w:trPr>
        <w:tc>
          <w:tcPr>
            <w:tcW w:w="1167" w:type="dxa"/>
            <w:gridSpan w:val="3"/>
            <w:vMerge/>
            <w:tcBorders>
              <w:bottom w:val="single" w:sz="4" w:space="0" w:color="auto"/>
            </w:tcBorders>
            <w:vAlign w:val="center"/>
          </w:tcPr>
          <w:p w14:paraId="4D0A8B65" w14:textId="77777777" w:rsidR="00D24AFF" w:rsidRDefault="00D24AFF">
            <w:pPr>
              <w:spacing w:line="600" w:lineRule="exact"/>
              <w:rPr>
                <w:rFonts w:ascii="Times New Roman" w:hAnsi="Times New Roman"/>
                <w:color w:val="000000"/>
                <w:sz w:val="18"/>
                <w:szCs w:val="21"/>
              </w:rPr>
            </w:pPr>
          </w:p>
        </w:tc>
        <w:tc>
          <w:tcPr>
            <w:tcW w:w="1545" w:type="dxa"/>
            <w:gridSpan w:val="2"/>
            <w:tcBorders>
              <w:bottom w:val="single" w:sz="4" w:space="0" w:color="auto"/>
            </w:tcBorders>
            <w:vAlign w:val="center"/>
          </w:tcPr>
          <w:p w14:paraId="289285DF" w14:textId="77777777" w:rsidR="00D24AFF" w:rsidRDefault="00CC54D4">
            <w:pPr>
              <w:spacing w:line="600" w:lineRule="exact"/>
              <w:jc w:val="center"/>
              <w:rPr>
                <w:rFonts w:ascii="Times New Roman" w:hAnsi="Times New Roman"/>
                <w:bCs/>
                <w:color w:val="000000"/>
                <w:sz w:val="18"/>
                <w:szCs w:val="21"/>
              </w:rPr>
            </w:pPr>
            <w:r>
              <w:rPr>
                <w:rFonts w:ascii="Times New Roman" w:hAnsi="Times New Roman"/>
                <w:bCs/>
                <w:color w:val="000000"/>
                <w:sz w:val="18"/>
                <w:szCs w:val="21"/>
              </w:rPr>
              <w:t>语言水平</w:t>
            </w:r>
          </w:p>
        </w:tc>
        <w:tc>
          <w:tcPr>
            <w:tcW w:w="5085" w:type="dxa"/>
            <w:gridSpan w:val="5"/>
            <w:tcBorders>
              <w:bottom w:val="single" w:sz="4" w:space="0" w:color="auto"/>
            </w:tcBorders>
            <w:vAlign w:val="center"/>
          </w:tcPr>
          <w:p w14:paraId="1826903C" w14:textId="77777777" w:rsidR="00D24AFF" w:rsidRDefault="00CC54D4">
            <w:pPr>
              <w:spacing w:line="240" w:lineRule="exact"/>
              <w:jc w:val="left"/>
              <w:rPr>
                <w:rFonts w:ascii="Times New Roman" w:hAnsi="Times New Roman"/>
                <w:color w:val="000000"/>
                <w:sz w:val="18"/>
              </w:rPr>
            </w:pPr>
            <w:r>
              <w:rPr>
                <w:rFonts w:ascii="Times New Roman" w:hAnsi="Times New Roman"/>
                <w:bCs/>
                <w:color w:val="000000"/>
                <w:sz w:val="18"/>
                <w:szCs w:val="21"/>
              </w:rPr>
              <w:t>写作语言的用字准确、语义准确、行文通顺、</w:t>
            </w:r>
            <w:r>
              <w:rPr>
                <w:rFonts w:ascii="Times New Roman" w:hAnsi="Times New Roman"/>
                <w:color w:val="000000"/>
                <w:sz w:val="18"/>
                <w:szCs w:val="21"/>
              </w:rPr>
              <w:t>修辞符合要求、</w:t>
            </w:r>
            <w:r>
              <w:rPr>
                <w:rFonts w:ascii="Times New Roman" w:hAnsi="Times New Roman"/>
                <w:bCs/>
                <w:color w:val="000000"/>
                <w:sz w:val="18"/>
                <w:szCs w:val="21"/>
              </w:rPr>
              <w:t>可读性强。</w:t>
            </w:r>
          </w:p>
        </w:tc>
        <w:tc>
          <w:tcPr>
            <w:tcW w:w="1044" w:type="dxa"/>
            <w:gridSpan w:val="2"/>
            <w:tcBorders>
              <w:bottom w:val="single" w:sz="4" w:space="0" w:color="auto"/>
            </w:tcBorders>
            <w:vAlign w:val="center"/>
          </w:tcPr>
          <w:p w14:paraId="1A780792" w14:textId="77777777" w:rsidR="00D24AFF" w:rsidRDefault="00CC54D4">
            <w:pPr>
              <w:spacing w:line="600" w:lineRule="exact"/>
              <w:jc w:val="center"/>
              <w:rPr>
                <w:rFonts w:ascii="Times New Roman" w:hAnsi="Times New Roman"/>
                <w:color w:val="000000"/>
                <w:sz w:val="18"/>
              </w:rPr>
            </w:pPr>
            <w:r>
              <w:rPr>
                <w:rFonts w:ascii="Times New Roman" w:hAnsi="Times New Roman"/>
                <w:color w:val="000000"/>
                <w:sz w:val="18"/>
                <w:szCs w:val="21"/>
              </w:rPr>
              <w:t>3~5</w:t>
            </w:r>
          </w:p>
        </w:tc>
      </w:tr>
      <w:tr w:rsidR="00D24AFF" w14:paraId="05404301" w14:textId="77777777">
        <w:trPr>
          <w:trHeight w:val="557"/>
          <w:jc w:val="center"/>
        </w:trPr>
        <w:tc>
          <w:tcPr>
            <w:tcW w:w="9025" w:type="dxa"/>
            <w:gridSpan w:val="13"/>
            <w:tcBorders>
              <w:top w:val="nil"/>
              <w:left w:val="nil"/>
              <w:right w:val="nil"/>
            </w:tcBorders>
            <w:shd w:val="clear" w:color="auto" w:fill="FFFFFF"/>
            <w:vAlign w:val="center"/>
          </w:tcPr>
          <w:p w14:paraId="3752F9A7" w14:textId="77777777" w:rsidR="00D24AFF" w:rsidRDefault="00CC54D4">
            <w:pPr>
              <w:spacing w:line="600" w:lineRule="exact"/>
              <w:jc w:val="center"/>
              <w:rPr>
                <w:rFonts w:ascii="Times New Roman" w:eastAsia="方正小标宋简体" w:hAnsi="Times New Roman"/>
                <w:color w:val="000000"/>
                <w:sz w:val="24"/>
                <w:szCs w:val="24"/>
              </w:rPr>
            </w:pPr>
            <w:r>
              <w:rPr>
                <w:rFonts w:ascii="Times New Roman" w:eastAsia="方正小标宋简体" w:hAnsi="Times New Roman"/>
                <w:color w:val="000000"/>
                <w:sz w:val="32"/>
                <w:szCs w:val="32"/>
              </w:rPr>
              <w:lastRenderedPageBreak/>
              <w:t>表</w:t>
            </w:r>
            <w:r>
              <w:rPr>
                <w:rFonts w:ascii="Times New Roman" w:eastAsia="方正小标宋简体" w:hAnsi="Times New Roman"/>
                <w:color w:val="000000"/>
                <w:sz w:val="32"/>
                <w:szCs w:val="32"/>
              </w:rPr>
              <w:t xml:space="preserve">3. </w:t>
            </w:r>
            <w:r>
              <w:rPr>
                <w:rFonts w:ascii="Times New Roman" w:eastAsia="方正小标宋简体" w:hAnsi="Times New Roman"/>
                <w:color w:val="000000"/>
                <w:sz w:val="32"/>
                <w:szCs w:val="32"/>
              </w:rPr>
              <w:t>定性评分体系</w:t>
            </w:r>
            <w:r>
              <w:rPr>
                <w:rFonts w:ascii="Times New Roman" w:eastAsia="方正小标宋简体" w:hAnsi="Times New Roman"/>
                <w:color w:val="000000"/>
                <w:sz w:val="32"/>
                <w:szCs w:val="32"/>
              </w:rPr>
              <w:t>-</w:t>
            </w:r>
            <w:r>
              <w:rPr>
                <w:rFonts w:ascii="Times New Roman" w:eastAsia="方正小标宋简体" w:hAnsi="Times New Roman"/>
                <w:color w:val="000000"/>
                <w:sz w:val="32"/>
                <w:szCs w:val="32"/>
              </w:rPr>
              <w:t>综述型</w:t>
            </w:r>
          </w:p>
        </w:tc>
      </w:tr>
      <w:tr w:rsidR="00D24AFF" w14:paraId="3E680877" w14:textId="77777777">
        <w:trPr>
          <w:trHeight w:val="1003"/>
          <w:jc w:val="center"/>
        </w:trPr>
        <w:tc>
          <w:tcPr>
            <w:tcW w:w="1005" w:type="dxa"/>
            <w:gridSpan w:val="2"/>
            <w:vAlign w:val="center"/>
          </w:tcPr>
          <w:p w14:paraId="0D572DD8" w14:textId="77777777" w:rsidR="00D24AFF" w:rsidRDefault="00CC54D4">
            <w:pPr>
              <w:spacing w:line="48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一级指标</w:t>
            </w:r>
          </w:p>
        </w:tc>
        <w:tc>
          <w:tcPr>
            <w:tcW w:w="1530" w:type="dxa"/>
            <w:gridSpan w:val="2"/>
            <w:vAlign w:val="center"/>
          </w:tcPr>
          <w:p w14:paraId="64867EF3" w14:textId="77777777" w:rsidR="00D24AFF" w:rsidRDefault="00CC54D4">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二级指标</w:t>
            </w:r>
          </w:p>
        </w:tc>
        <w:tc>
          <w:tcPr>
            <w:tcW w:w="5262" w:type="dxa"/>
            <w:gridSpan w:val="6"/>
            <w:vAlign w:val="center"/>
          </w:tcPr>
          <w:p w14:paraId="16C1150F" w14:textId="77777777" w:rsidR="00D24AFF" w:rsidRDefault="00CC54D4">
            <w:pPr>
              <w:spacing w:line="60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参考要求</w:t>
            </w:r>
          </w:p>
        </w:tc>
        <w:tc>
          <w:tcPr>
            <w:tcW w:w="1228" w:type="dxa"/>
            <w:gridSpan w:val="3"/>
            <w:vAlign w:val="center"/>
          </w:tcPr>
          <w:p w14:paraId="08519FB1" w14:textId="77777777" w:rsidR="00D24AFF" w:rsidRDefault="00CC54D4">
            <w:pPr>
              <w:spacing w:line="480" w:lineRule="exact"/>
              <w:jc w:val="center"/>
              <w:rPr>
                <w:rFonts w:ascii="Times New Roman" w:eastAsia="黑体" w:hAnsi="Times New Roman"/>
                <w:color w:val="000000"/>
                <w:sz w:val="32"/>
                <w:szCs w:val="32"/>
              </w:rPr>
            </w:pPr>
            <w:r>
              <w:rPr>
                <w:rFonts w:ascii="Times New Roman" w:eastAsia="黑体" w:hAnsi="Times New Roman"/>
                <w:color w:val="000000"/>
                <w:sz w:val="32"/>
                <w:szCs w:val="32"/>
              </w:rPr>
              <w:t>对应分值</w:t>
            </w:r>
          </w:p>
        </w:tc>
      </w:tr>
      <w:tr w:rsidR="00D24AFF" w14:paraId="75D5E2B6" w14:textId="77777777">
        <w:trPr>
          <w:trHeight w:val="2551"/>
          <w:jc w:val="center"/>
        </w:trPr>
        <w:tc>
          <w:tcPr>
            <w:tcW w:w="1005" w:type="dxa"/>
            <w:gridSpan w:val="2"/>
            <w:vMerge w:val="restart"/>
            <w:vAlign w:val="center"/>
          </w:tcPr>
          <w:p w14:paraId="38199BCA"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bCs/>
                <w:color w:val="000000"/>
                <w:sz w:val="32"/>
                <w:szCs w:val="32"/>
              </w:rPr>
              <w:t>学术内容和水平（</w:t>
            </w:r>
            <w:r>
              <w:rPr>
                <w:rFonts w:ascii="Times New Roman" w:eastAsia="仿宋_GB2312" w:hAnsi="Times New Roman"/>
                <w:bCs/>
                <w:color w:val="000000"/>
                <w:sz w:val="32"/>
                <w:szCs w:val="32"/>
              </w:rPr>
              <w:t>80%</w:t>
            </w:r>
            <w:r>
              <w:rPr>
                <w:rFonts w:ascii="Times New Roman" w:eastAsia="仿宋_GB2312" w:hAnsi="Times New Roman"/>
                <w:bCs/>
                <w:color w:val="000000"/>
                <w:sz w:val="32"/>
                <w:szCs w:val="32"/>
              </w:rPr>
              <w:t>）</w:t>
            </w:r>
          </w:p>
        </w:tc>
        <w:tc>
          <w:tcPr>
            <w:tcW w:w="1530" w:type="dxa"/>
            <w:gridSpan w:val="2"/>
            <w:vAlign w:val="center"/>
          </w:tcPr>
          <w:p w14:paraId="497A7710"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bCs/>
                <w:color w:val="000000"/>
                <w:sz w:val="32"/>
                <w:szCs w:val="32"/>
              </w:rPr>
              <w:t>引导性</w:t>
            </w:r>
          </w:p>
        </w:tc>
        <w:tc>
          <w:tcPr>
            <w:tcW w:w="5262" w:type="dxa"/>
            <w:gridSpan w:val="6"/>
            <w:vAlign w:val="center"/>
          </w:tcPr>
          <w:p w14:paraId="7A36831D"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结合国家科技发展战略需要，针对学科或者行业的研究进展和发展方向，提出了前瞻性、原创性的鲜明观点和卓识见解，对学科和行业领域内的其他研究创新起到了启迪和引导作用。</w:t>
            </w:r>
          </w:p>
        </w:tc>
        <w:tc>
          <w:tcPr>
            <w:tcW w:w="1228" w:type="dxa"/>
            <w:gridSpan w:val="3"/>
            <w:vAlign w:val="center"/>
          </w:tcPr>
          <w:p w14:paraId="1850FBBB"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5~30</w:t>
            </w:r>
          </w:p>
        </w:tc>
      </w:tr>
      <w:tr w:rsidR="00D24AFF" w14:paraId="33B1BD78" w14:textId="77777777">
        <w:trPr>
          <w:trHeight w:val="1680"/>
          <w:jc w:val="center"/>
        </w:trPr>
        <w:tc>
          <w:tcPr>
            <w:tcW w:w="1005" w:type="dxa"/>
            <w:gridSpan w:val="2"/>
            <w:vMerge/>
            <w:vAlign w:val="center"/>
          </w:tcPr>
          <w:p w14:paraId="29675FA6" w14:textId="77777777" w:rsidR="00D24AFF" w:rsidRDefault="00D24AFF">
            <w:pPr>
              <w:spacing w:line="600" w:lineRule="exact"/>
              <w:rPr>
                <w:rFonts w:ascii="Times New Roman" w:eastAsia="仿宋_GB2312" w:hAnsi="Times New Roman"/>
                <w:color w:val="000000"/>
                <w:sz w:val="32"/>
                <w:szCs w:val="32"/>
              </w:rPr>
            </w:pPr>
          </w:p>
        </w:tc>
        <w:tc>
          <w:tcPr>
            <w:tcW w:w="1530" w:type="dxa"/>
            <w:gridSpan w:val="2"/>
            <w:vAlign w:val="center"/>
          </w:tcPr>
          <w:p w14:paraId="7DCD1CC5"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重要性</w:t>
            </w:r>
          </w:p>
        </w:tc>
        <w:tc>
          <w:tcPr>
            <w:tcW w:w="5262" w:type="dxa"/>
            <w:gridSpan w:val="6"/>
            <w:vAlign w:val="center"/>
          </w:tcPr>
          <w:p w14:paraId="40D5BDFB"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面向国家科技发展的战略需求、支撑学科发展的基础课题或行业发展亟需解决的重大问题，具备前瞻性、时效性、涵盖性、领先性。</w:t>
            </w:r>
          </w:p>
        </w:tc>
        <w:tc>
          <w:tcPr>
            <w:tcW w:w="1228" w:type="dxa"/>
            <w:gridSpan w:val="3"/>
            <w:vAlign w:val="center"/>
          </w:tcPr>
          <w:p w14:paraId="62E62F4E"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5~15</w:t>
            </w:r>
          </w:p>
        </w:tc>
      </w:tr>
      <w:tr w:rsidR="00D24AFF" w14:paraId="4DF82857" w14:textId="77777777">
        <w:trPr>
          <w:trHeight w:val="1690"/>
          <w:jc w:val="center"/>
        </w:trPr>
        <w:tc>
          <w:tcPr>
            <w:tcW w:w="1005" w:type="dxa"/>
            <w:gridSpan w:val="2"/>
            <w:vMerge/>
            <w:vAlign w:val="center"/>
          </w:tcPr>
          <w:p w14:paraId="44BE8148" w14:textId="77777777" w:rsidR="00D24AFF" w:rsidRDefault="00D24AFF">
            <w:pPr>
              <w:spacing w:line="600" w:lineRule="exact"/>
              <w:rPr>
                <w:rFonts w:ascii="Times New Roman" w:eastAsia="仿宋_GB2312" w:hAnsi="Times New Roman"/>
                <w:color w:val="000000"/>
                <w:sz w:val="32"/>
                <w:szCs w:val="32"/>
              </w:rPr>
            </w:pPr>
          </w:p>
        </w:tc>
        <w:tc>
          <w:tcPr>
            <w:tcW w:w="1530" w:type="dxa"/>
            <w:gridSpan w:val="2"/>
            <w:vAlign w:val="center"/>
          </w:tcPr>
          <w:p w14:paraId="5B727515"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全面性</w:t>
            </w:r>
          </w:p>
        </w:tc>
        <w:tc>
          <w:tcPr>
            <w:tcW w:w="5262" w:type="dxa"/>
            <w:gridSpan w:val="6"/>
            <w:vAlign w:val="center"/>
          </w:tcPr>
          <w:p w14:paraId="51027CDF"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广泛而深入地总结了国内外学科或行业内的研究进展，全面涵盖了历史性回顾、目前状况、争论焦点、存在问题、未来展望及最新进展。</w:t>
            </w:r>
          </w:p>
        </w:tc>
        <w:tc>
          <w:tcPr>
            <w:tcW w:w="1228" w:type="dxa"/>
            <w:gridSpan w:val="3"/>
            <w:vAlign w:val="center"/>
          </w:tcPr>
          <w:p w14:paraId="677D5379"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5~20</w:t>
            </w:r>
          </w:p>
        </w:tc>
      </w:tr>
      <w:tr w:rsidR="00D24AFF" w14:paraId="25D952F1" w14:textId="77777777">
        <w:trPr>
          <w:trHeight w:val="1558"/>
          <w:jc w:val="center"/>
        </w:trPr>
        <w:tc>
          <w:tcPr>
            <w:tcW w:w="1005" w:type="dxa"/>
            <w:gridSpan w:val="2"/>
            <w:vMerge/>
            <w:tcBorders>
              <w:bottom w:val="single" w:sz="4" w:space="0" w:color="auto"/>
            </w:tcBorders>
            <w:vAlign w:val="center"/>
          </w:tcPr>
          <w:p w14:paraId="44307436" w14:textId="77777777" w:rsidR="00D24AFF" w:rsidRDefault="00D24AFF">
            <w:pPr>
              <w:spacing w:line="600" w:lineRule="exact"/>
              <w:jc w:val="center"/>
              <w:rPr>
                <w:rFonts w:ascii="Times New Roman" w:eastAsia="仿宋_GB2312" w:hAnsi="Times New Roman"/>
                <w:color w:val="000000"/>
                <w:sz w:val="32"/>
                <w:szCs w:val="32"/>
              </w:rPr>
            </w:pPr>
          </w:p>
        </w:tc>
        <w:tc>
          <w:tcPr>
            <w:tcW w:w="1530" w:type="dxa"/>
            <w:gridSpan w:val="2"/>
            <w:tcBorders>
              <w:bottom w:val="single" w:sz="4" w:space="0" w:color="auto"/>
            </w:tcBorders>
            <w:vAlign w:val="center"/>
          </w:tcPr>
          <w:p w14:paraId="11E716F5"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先进性</w:t>
            </w:r>
          </w:p>
        </w:tc>
        <w:tc>
          <w:tcPr>
            <w:tcW w:w="5262" w:type="dxa"/>
            <w:gridSpan w:val="6"/>
            <w:tcBorders>
              <w:bottom w:val="single" w:sz="4" w:space="0" w:color="auto"/>
            </w:tcBorders>
            <w:vAlign w:val="center"/>
          </w:tcPr>
          <w:p w14:paraId="69687896"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涵盖学科或行业内的国内外最新研究成果，能够充分反映该学科或行业领域内的新问题、新趋势、新水平、新发现、新原理和新技术。</w:t>
            </w:r>
          </w:p>
        </w:tc>
        <w:tc>
          <w:tcPr>
            <w:tcW w:w="1228" w:type="dxa"/>
            <w:gridSpan w:val="3"/>
            <w:tcBorders>
              <w:bottom w:val="single" w:sz="4" w:space="0" w:color="auto"/>
            </w:tcBorders>
            <w:vAlign w:val="center"/>
          </w:tcPr>
          <w:p w14:paraId="67E70C8C"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5~15</w:t>
            </w:r>
          </w:p>
        </w:tc>
      </w:tr>
      <w:tr w:rsidR="00D24AFF" w14:paraId="3268EEF7" w14:textId="77777777">
        <w:trPr>
          <w:trHeight w:val="2623"/>
          <w:jc w:val="center"/>
        </w:trPr>
        <w:tc>
          <w:tcPr>
            <w:tcW w:w="1005" w:type="dxa"/>
            <w:gridSpan w:val="2"/>
            <w:vMerge w:val="restart"/>
            <w:vAlign w:val="center"/>
          </w:tcPr>
          <w:p w14:paraId="1D4FB99A"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写作质量与规范（</w:t>
            </w:r>
            <w:r>
              <w:rPr>
                <w:rFonts w:ascii="Times New Roman" w:eastAsia="仿宋_GB2312" w:hAnsi="Times New Roman"/>
                <w:bCs/>
                <w:color w:val="000000"/>
                <w:sz w:val="32"/>
                <w:szCs w:val="32"/>
              </w:rPr>
              <w:t>20%</w:t>
            </w:r>
            <w:r>
              <w:rPr>
                <w:rFonts w:ascii="Times New Roman" w:eastAsia="仿宋_GB2312" w:hAnsi="Times New Roman"/>
                <w:bCs/>
                <w:color w:val="000000"/>
                <w:sz w:val="32"/>
                <w:szCs w:val="32"/>
              </w:rPr>
              <w:t>）</w:t>
            </w:r>
          </w:p>
        </w:tc>
        <w:tc>
          <w:tcPr>
            <w:tcW w:w="1530" w:type="dxa"/>
            <w:gridSpan w:val="2"/>
            <w:vAlign w:val="center"/>
          </w:tcPr>
          <w:p w14:paraId="168FF874"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写作规范</w:t>
            </w:r>
          </w:p>
        </w:tc>
        <w:tc>
          <w:tcPr>
            <w:tcW w:w="5262" w:type="dxa"/>
            <w:gridSpan w:val="6"/>
            <w:vAlign w:val="center"/>
          </w:tcPr>
          <w:p w14:paraId="2C3B33C3"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bCs/>
                <w:color w:val="000000"/>
                <w:sz w:val="32"/>
                <w:szCs w:val="32"/>
              </w:rPr>
              <w:t>论文中专业用语规范（专业名词与术语、</w:t>
            </w:r>
            <w:r>
              <w:rPr>
                <w:rFonts w:ascii="Times New Roman" w:eastAsia="仿宋_GB2312" w:hAnsi="Times New Roman"/>
                <w:color w:val="000000"/>
                <w:sz w:val="32"/>
                <w:szCs w:val="32"/>
              </w:rPr>
              <w:t>计量单位、符号、缩略语</w:t>
            </w:r>
            <w:r>
              <w:rPr>
                <w:rFonts w:ascii="Times New Roman" w:eastAsia="仿宋_GB2312" w:hAnsi="Times New Roman"/>
                <w:bCs/>
                <w:color w:val="000000"/>
                <w:sz w:val="32"/>
                <w:szCs w:val="32"/>
              </w:rPr>
              <w:t>准确）；条理清晰（层次分明，逻辑严密）；论述严谨（论据充分，结论明确）；结构完整（符合科技论文要求）；参考文献引用规范</w:t>
            </w:r>
            <w:r>
              <w:rPr>
                <w:rFonts w:ascii="Times New Roman" w:eastAsia="仿宋_GB2312" w:hAnsi="Times New Roman"/>
                <w:color w:val="000000"/>
                <w:sz w:val="32"/>
                <w:szCs w:val="32"/>
              </w:rPr>
              <w:t>、</w:t>
            </w:r>
            <w:r>
              <w:rPr>
                <w:rFonts w:ascii="Times New Roman" w:eastAsia="仿宋_GB2312" w:hAnsi="Times New Roman"/>
                <w:bCs/>
                <w:color w:val="000000"/>
                <w:sz w:val="32"/>
                <w:szCs w:val="32"/>
              </w:rPr>
              <w:t>著录规范。</w:t>
            </w:r>
          </w:p>
        </w:tc>
        <w:tc>
          <w:tcPr>
            <w:tcW w:w="1228" w:type="dxa"/>
            <w:gridSpan w:val="3"/>
            <w:vAlign w:val="center"/>
          </w:tcPr>
          <w:p w14:paraId="763D8D76"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bCs/>
                <w:color w:val="000000"/>
                <w:sz w:val="32"/>
                <w:szCs w:val="32"/>
              </w:rPr>
              <w:t>3~10</w:t>
            </w:r>
          </w:p>
        </w:tc>
      </w:tr>
      <w:tr w:rsidR="00D24AFF" w14:paraId="49149C15" w14:textId="77777777">
        <w:trPr>
          <w:trHeight w:val="461"/>
          <w:jc w:val="center"/>
        </w:trPr>
        <w:tc>
          <w:tcPr>
            <w:tcW w:w="1005" w:type="dxa"/>
            <w:gridSpan w:val="2"/>
            <w:vMerge/>
            <w:tcBorders>
              <w:bottom w:val="single" w:sz="4" w:space="0" w:color="auto"/>
            </w:tcBorders>
            <w:vAlign w:val="center"/>
          </w:tcPr>
          <w:p w14:paraId="7EA44062" w14:textId="77777777" w:rsidR="00D24AFF" w:rsidRDefault="00D24AFF">
            <w:pPr>
              <w:spacing w:line="600" w:lineRule="exact"/>
              <w:rPr>
                <w:rFonts w:ascii="Times New Roman" w:eastAsia="仿宋_GB2312" w:hAnsi="Times New Roman"/>
                <w:color w:val="000000"/>
                <w:sz w:val="32"/>
                <w:szCs w:val="32"/>
              </w:rPr>
            </w:pPr>
          </w:p>
        </w:tc>
        <w:tc>
          <w:tcPr>
            <w:tcW w:w="1530" w:type="dxa"/>
            <w:gridSpan w:val="2"/>
            <w:tcBorders>
              <w:bottom w:val="single" w:sz="4" w:space="0" w:color="auto"/>
            </w:tcBorders>
            <w:vAlign w:val="center"/>
          </w:tcPr>
          <w:p w14:paraId="7E46FAD1" w14:textId="77777777" w:rsidR="00D24AFF" w:rsidRDefault="00CC54D4">
            <w:pPr>
              <w:spacing w:line="600" w:lineRule="exact"/>
              <w:jc w:val="center"/>
              <w:rPr>
                <w:rFonts w:ascii="Times New Roman" w:eastAsia="仿宋_GB2312" w:hAnsi="Times New Roman"/>
                <w:bCs/>
                <w:color w:val="000000"/>
                <w:sz w:val="32"/>
                <w:szCs w:val="32"/>
              </w:rPr>
            </w:pPr>
            <w:r>
              <w:rPr>
                <w:rFonts w:ascii="Times New Roman" w:eastAsia="仿宋_GB2312" w:hAnsi="Times New Roman"/>
                <w:bCs/>
                <w:color w:val="000000"/>
                <w:sz w:val="32"/>
                <w:szCs w:val="32"/>
              </w:rPr>
              <w:t>语言水平</w:t>
            </w:r>
          </w:p>
        </w:tc>
        <w:tc>
          <w:tcPr>
            <w:tcW w:w="5262" w:type="dxa"/>
            <w:gridSpan w:val="6"/>
            <w:tcBorders>
              <w:bottom w:val="single" w:sz="4" w:space="0" w:color="auto"/>
            </w:tcBorders>
            <w:vAlign w:val="center"/>
          </w:tcPr>
          <w:p w14:paraId="041110A7" w14:textId="77777777" w:rsidR="00D24AFF" w:rsidRDefault="00CC54D4">
            <w:pPr>
              <w:spacing w:line="440" w:lineRule="exact"/>
              <w:rPr>
                <w:rFonts w:ascii="Times New Roman" w:eastAsia="仿宋_GB2312" w:hAnsi="Times New Roman"/>
                <w:color w:val="000000"/>
                <w:sz w:val="32"/>
                <w:szCs w:val="32"/>
              </w:rPr>
            </w:pPr>
            <w:r>
              <w:rPr>
                <w:rFonts w:ascii="Times New Roman" w:eastAsia="仿宋_GB2312" w:hAnsi="Times New Roman"/>
                <w:bCs/>
                <w:color w:val="000000"/>
                <w:sz w:val="32"/>
                <w:szCs w:val="32"/>
              </w:rPr>
              <w:t>写作语言的用字准确、语义准确、行文通顺、</w:t>
            </w:r>
            <w:r>
              <w:rPr>
                <w:rFonts w:ascii="Times New Roman" w:eastAsia="仿宋_GB2312" w:hAnsi="Times New Roman"/>
                <w:color w:val="000000"/>
                <w:sz w:val="32"/>
                <w:szCs w:val="32"/>
              </w:rPr>
              <w:t>修辞符合要求、</w:t>
            </w:r>
            <w:r>
              <w:rPr>
                <w:rFonts w:ascii="Times New Roman" w:eastAsia="仿宋_GB2312" w:hAnsi="Times New Roman"/>
                <w:bCs/>
                <w:color w:val="000000"/>
                <w:sz w:val="32"/>
                <w:szCs w:val="32"/>
              </w:rPr>
              <w:t>可读性强。</w:t>
            </w:r>
          </w:p>
        </w:tc>
        <w:tc>
          <w:tcPr>
            <w:tcW w:w="1228" w:type="dxa"/>
            <w:gridSpan w:val="3"/>
            <w:tcBorders>
              <w:bottom w:val="single" w:sz="4" w:space="0" w:color="auto"/>
            </w:tcBorders>
            <w:vAlign w:val="center"/>
          </w:tcPr>
          <w:p w14:paraId="1DB8795D" w14:textId="77777777" w:rsidR="00D24AFF" w:rsidRDefault="00CC54D4">
            <w:pPr>
              <w:spacing w:line="60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3~10</w:t>
            </w:r>
          </w:p>
        </w:tc>
      </w:tr>
    </w:tbl>
    <w:p w14:paraId="36B4AD6B" w14:textId="77777777" w:rsidR="00D24AFF" w:rsidRDefault="00D24AFF"/>
    <w:sectPr w:rsidR="00D24A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C296B" w14:textId="77777777" w:rsidR="00CB5867" w:rsidRDefault="00CB5867" w:rsidP="0015797B">
      <w:r>
        <w:separator/>
      </w:r>
    </w:p>
  </w:endnote>
  <w:endnote w:type="continuationSeparator" w:id="0">
    <w:p w14:paraId="79CA0ABB" w14:textId="77777777" w:rsidR="00CB5867" w:rsidRDefault="00CB5867" w:rsidP="0015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8FC8D" w14:textId="77777777" w:rsidR="00CB5867" w:rsidRDefault="00CB5867" w:rsidP="0015797B">
      <w:r>
        <w:separator/>
      </w:r>
    </w:p>
  </w:footnote>
  <w:footnote w:type="continuationSeparator" w:id="0">
    <w:p w14:paraId="38029032" w14:textId="77777777" w:rsidR="00CB5867" w:rsidRDefault="00CB5867" w:rsidP="00157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AFF"/>
    <w:rsid w:val="00110E49"/>
    <w:rsid w:val="0015797B"/>
    <w:rsid w:val="006C6BED"/>
    <w:rsid w:val="00766904"/>
    <w:rsid w:val="00AE5453"/>
    <w:rsid w:val="00CB5867"/>
    <w:rsid w:val="00CC54D4"/>
    <w:rsid w:val="00D24AFF"/>
    <w:rsid w:val="17E47F7A"/>
    <w:rsid w:val="34EB3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AC604"/>
  <w15:docId w15:val="{460CD8F2-AD1F-4163-8F4E-38D465A4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jc w:val="both"/>
      <w:textAlignment w:val="baseline"/>
    </w:pPr>
    <w:rPr>
      <w:rFonts w:ascii="Calibri" w:hAnsi="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5797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5797B"/>
    <w:rPr>
      <w:rFonts w:ascii="Calibri" w:hAnsi="Calibri"/>
      <w:sz w:val="18"/>
      <w:szCs w:val="18"/>
    </w:rPr>
  </w:style>
  <w:style w:type="paragraph" w:styleId="a5">
    <w:name w:val="footer"/>
    <w:basedOn w:val="a"/>
    <w:link w:val="a6"/>
    <w:rsid w:val="0015797B"/>
    <w:pPr>
      <w:tabs>
        <w:tab w:val="center" w:pos="4153"/>
        <w:tab w:val="right" w:pos="8306"/>
      </w:tabs>
      <w:snapToGrid w:val="0"/>
      <w:jc w:val="left"/>
    </w:pPr>
    <w:rPr>
      <w:sz w:val="18"/>
      <w:szCs w:val="18"/>
    </w:rPr>
  </w:style>
  <w:style w:type="character" w:customStyle="1" w:styleId="a6">
    <w:name w:val="页脚 字符"/>
    <w:basedOn w:val="a0"/>
    <w:link w:val="a5"/>
    <w:rsid w:val="0015797B"/>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cp:lastModifiedBy>
  <cp:revision>6</cp:revision>
  <dcterms:created xsi:type="dcterms:W3CDTF">2021-06-22T01:05:00Z</dcterms:created>
  <dcterms:modified xsi:type="dcterms:W3CDTF">2021-06-23T06:13:00Z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