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斑节对虾促性腺激素释放激素</w:t>
      </w:r>
    </w:p>
    <w:p>
      <w:pPr>
        <w:spacing w:line="64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  <w:lang w:val="zh-TW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  <w:lang w:val="zh-TW"/>
        </w:rPr>
        <w:t>的免疫定位及调控机制初探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韩萍</w:t>
      </w:r>
      <w:r>
        <w:rPr>
          <w:rFonts w:ascii="宋体" w:hAnsi="宋体"/>
          <w:color w:val="000000"/>
          <w:vertAlign w:val="superscript"/>
        </w:rPr>
        <w:t>a,b</w:t>
      </w:r>
      <w:r>
        <w:rPr>
          <w:rFonts w:hint="eastAsia" w:ascii="宋体" w:hAnsi="宋体"/>
          <w:color w:val="000000"/>
          <w:lang w:val="zh-CN"/>
        </w:rPr>
        <w:t>，杨丽诗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，杨其彬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，黄建华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，周发林</w:t>
      </w:r>
      <w:r>
        <w:rPr>
          <w:rFonts w:ascii="宋体" w:hAnsi="宋体"/>
          <w:color w:val="000000"/>
          <w:vertAlign w:val="superscript"/>
        </w:rPr>
        <w:t>a</w:t>
      </w:r>
      <w:r>
        <w:rPr>
          <w:rFonts w:hint="eastAsia" w:ascii="宋体" w:hAnsi="宋体"/>
          <w:color w:val="000000"/>
          <w:lang w:val="zh-CN"/>
        </w:rPr>
        <w:t>，江世贵</w:t>
      </w:r>
      <w:r>
        <w:rPr>
          <w:rFonts w:ascii="宋体" w:hAnsi="宋体"/>
          <w:color w:val="000000"/>
          <w:vertAlign w:val="superscript"/>
        </w:rPr>
        <w:t>a,</w:t>
      </w:r>
      <w:r>
        <w:rPr>
          <w:rFonts w:ascii="宋体" w:hAnsi="宋体"/>
          <w:color w:val="000000"/>
        </w:rPr>
        <w:t xml:space="preserve"> *</w:t>
      </w:r>
    </w:p>
    <w:p>
      <w:pPr>
        <w:jc w:val="center"/>
        <w:rPr>
          <w:rFonts w:ascii="宋体" w:hAnsi="宋体"/>
          <w:color w:val="000000"/>
          <w:sz w:val="18"/>
          <w:szCs w:val="18"/>
          <w:lang w:val="zh-CN"/>
        </w:rPr>
      </w:pPr>
      <w:r>
        <w:rPr>
          <w:rFonts w:ascii="宋体" w:hAnsi="宋体"/>
          <w:color w:val="000000"/>
          <w:sz w:val="18"/>
          <w:szCs w:val="18"/>
          <w:vertAlign w:val="superscript"/>
          <w:lang w:val="zh-CN"/>
        </w:rPr>
        <w:t>a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农业部南海渔业资源开发利用重点实验室，南海水产研究所，中国水产科学研究院，广州，</w:t>
      </w:r>
      <w:r>
        <w:rPr>
          <w:rFonts w:ascii="宋体" w:hAnsi="宋体"/>
          <w:color w:val="000000"/>
          <w:sz w:val="18"/>
          <w:szCs w:val="18"/>
          <w:lang w:val="zh-CN"/>
        </w:rPr>
        <w:t>510300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，中国；</w:t>
      </w:r>
    </w:p>
    <w:p>
      <w:pPr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18"/>
          <w:szCs w:val="18"/>
          <w:vertAlign w:val="superscript"/>
          <w:lang w:val="zh-CN"/>
        </w:rPr>
        <w:t>b</w:t>
      </w:r>
      <w:r>
        <w:rPr>
          <w:rFonts w:hint="eastAsia" w:ascii="宋体" w:hAnsi="宋体"/>
          <w:color w:val="000000"/>
          <w:sz w:val="18"/>
          <w:szCs w:val="18"/>
          <w:lang w:val="zh-CN"/>
        </w:rPr>
        <w:t>上海海洋大学，水产与生命技术学院，上海</w:t>
      </w:r>
      <w:r>
        <w:rPr>
          <w:rFonts w:ascii="宋体" w:hAnsi="宋体"/>
          <w:color w:val="000000"/>
          <w:sz w:val="18"/>
          <w:szCs w:val="18"/>
          <w:lang w:val="zh-CN"/>
        </w:rPr>
        <w:t xml:space="preserve"> 201306</w:t>
      </w:r>
    </w:p>
    <w:p>
      <w:pPr>
        <w:jc w:val="center"/>
        <w:rPr>
          <w:color w:val="000000"/>
        </w:rPr>
      </w:pPr>
    </w:p>
    <w:p>
      <w:pPr>
        <w:rPr>
          <w:rFonts w:ascii="宋体" w:hAnsi="宋体"/>
          <w:color w:val="000000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455930</wp:posOffset>
                </wp:positionV>
                <wp:extent cx="3162300" cy="2314575"/>
                <wp:effectExtent l="28575" t="28575" r="28575" b="381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本页为“2021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中国水产学会青年</w:t>
                            </w:r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学术年会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3366FF"/>
                                <w:sz w:val="18"/>
                              </w:rPr>
                              <w:t>论文摘要模板”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★论文摘要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文档名称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格式必须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为：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青年</w:t>
                            </w:r>
                            <w:r>
                              <w:rPr>
                                <w:rFonts w:ascii="仿宋" w:hAnsi="仿宋" w:eastAsia="仿宋" w:cs="仿宋"/>
                                <w:b/>
                                <w:color w:val="FF0000"/>
                              </w:rPr>
                              <w:t>学术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color w:val="FF0000"/>
                              </w:rPr>
                              <w:t>年会-姓名-论文摘要题目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1.每篇论文摘要分为中、英文两部分（不接受纯英文），总计不超过A4一页（最多不得超过本模板对应的字数）。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2.请按照本模板的页边距、字体、字号及段落间距调整您的摘要格式，格式不符者视为无效且不予纳入《论文摘要集》。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3.请于2021年</w:t>
                            </w:r>
                            <w: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月30日前将您的论文摘要作为附件发送至E-mail：shuichanqingnian@</w:t>
                            </w:r>
                            <w: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  <w:t>163.</w:t>
                            </w: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com。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color w:val="993300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993300"/>
                                <w:sz w:val="18"/>
                              </w:rPr>
                              <w:t>4.每位口头报告者仅限提交1篇论文摘要，请确认无误后再提交。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5pt;margin-top:35.9pt;height:182.25pt;width:249pt;z-index:251659264;mso-width-relative:page;mso-height-relative:page;" fillcolor="#FFFFFF" filled="t" stroked="t" coordsize="21600,21600" o:gfxdata="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jTtsU9oAAAAKAQAADwAAAAAA&#10;AAABACAAAAAiAAAAZHJzL2Rvd25yZXYueG1sUEsBAhQAFAAAAAgAh07iQO3KKk1KAgAAlwQAAA4A&#10;AAAAAAAAAQAgAAAAKQEAAGRycy9lMm9Eb2MueG1sUEsFBgAAAAAGAAYAWQEAAOUFAAAAAA==&#10;">
                <v:fill on="t" focussize="0,0"/>
                <v:stroke weight="4.5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本页为“2021</w:t>
                      </w:r>
                      <w: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中国水产学会青年</w:t>
                      </w:r>
                      <w:r>
                        <w:rPr>
                          <w:rFonts w:ascii="宋体" w:hAnsi="宋体"/>
                          <w:b/>
                          <w:bCs/>
                          <w:color w:val="3366FF"/>
                          <w:sz w:val="18"/>
                        </w:rPr>
                        <w:t>学术年会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color w:val="3366FF"/>
                          <w:sz w:val="18"/>
                        </w:rPr>
                        <w:t>论文摘要模板”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★论文摘要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文档名称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格式必须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为：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青年</w:t>
                      </w:r>
                      <w:r>
                        <w:rPr>
                          <w:rFonts w:ascii="仿宋" w:hAnsi="仿宋" w:eastAsia="仿宋" w:cs="仿宋"/>
                          <w:b/>
                          <w:color w:val="FF0000"/>
                        </w:rPr>
                        <w:t>学术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color w:val="FF0000"/>
                        </w:rPr>
                        <w:t>年会-姓名-论文摘要题目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1.每篇论文摘要分为中、英文两部分（不接受纯英文），总计不超过A4一页（最多不得超过本模板对应的字数）。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2.请按照本模板的页边距、字体、字号及段落间距调整您的摘要格式，格式不符者视为无效且不予纳入《论文摘要集》。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3.请于2021年</w:t>
                      </w:r>
                      <w:r>
                        <w:rPr>
                          <w:rFonts w:ascii="宋体" w:hAnsi="宋体"/>
                          <w:color w:val="993300"/>
                          <w:sz w:val="18"/>
                        </w:rPr>
                        <w:t>9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月30日前将您的论文摘要作为附件发送至E-mail：shuichanqingnian@</w:t>
                      </w:r>
                      <w:r>
                        <w:rPr>
                          <w:rFonts w:ascii="宋体" w:hAnsi="宋体"/>
                          <w:color w:val="993300"/>
                          <w:sz w:val="18"/>
                        </w:rPr>
                        <w:t>163.</w:t>
                      </w: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com。</w:t>
                      </w:r>
                    </w:p>
                    <w:p>
                      <w:pPr>
                        <w:rPr>
                          <w:rFonts w:ascii="宋体" w:hAnsi="宋体"/>
                          <w:color w:val="993300"/>
                          <w:sz w:val="18"/>
                        </w:rPr>
                      </w:pPr>
                      <w:r>
                        <w:rPr>
                          <w:rFonts w:hint="eastAsia" w:ascii="宋体" w:hAnsi="宋体"/>
                          <w:color w:val="993300"/>
                          <w:sz w:val="18"/>
                        </w:rPr>
                        <w:t>4.每位口头报告者仅限提交1篇论文摘要，请确认无误后再提交。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宋体"/>
          <w:b/>
          <w:bCs/>
          <w:color w:val="000000"/>
        </w:rPr>
        <w:t>摘要：</w:t>
      </w:r>
      <w:r>
        <w:rPr>
          <w:rFonts w:hint="eastAsia" w:ascii="宋体" w:hAnsi="宋体"/>
          <w:color w:val="000000"/>
        </w:rPr>
        <w:t>为了获知促性腺激素释放激素</w:t>
      </w:r>
      <w:r>
        <w:rPr>
          <w:rFonts w:ascii="宋体" w:hAnsi="宋体"/>
          <w:color w:val="000000"/>
        </w:rPr>
        <w:t>(GnRH)</w:t>
      </w:r>
      <w:r>
        <w:rPr>
          <w:rFonts w:hint="eastAsia" w:ascii="宋体" w:hAnsi="宋体"/>
          <w:color w:val="000000"/>
        </w:rPr>
        <w:t>调控机制，以便在繁育中更好应用，本实验利用免疫组化方法研究了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color w:val="000000"/>
        </w:rPr>
        <w:t>在斑节对虾卵巢发育五个时期（</w:t>
      </w:r>
      <w:r>
        <w:rPr>
          <w:rFonts w:ascii="宋体" w:hAnsi="宋体"/>
          <w:color w:val="000000"/>
        </w:rPr>
        <w:t>II</w:t>
      </w:r>
      <w:r>
        <w:rPr>
          <w:rFonts w:hint="eastAsia" w:ascii="宋体" w:hAnsi="宋体"/>
          <w:color w:val="000000"/>
        </w:rPr>
        <w:t>至</w:t>
      </w:r>
      <w:r>
        <w:rPr>
          <w:rFonts w:ascii="宋体" w:hAnsi="宋体"/>
          <w:color w:val="000000"/>
        </w:rPr>
        <w:t>VI</w:t>
      </w:r>
      <w:r>
        <w:rPr>
          <w:rFonts w:hint="eastAsia" w:ascii="宋体" w:hAnsi="宋体"/>
          <w:color w:val="000000"/>
        </w:rPr>
        <w:t>期）中在神经系统及卵巢中的免疫定位和分布，以及在肝胰腺及卵巢中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color w:val="000000"/>
        </w:rPr>
        <w:t>信号通路相关的调控因素</w:t>
      </w:r>
      <w:r>
        <w:rPr>
          <w:rFonts w:ascii="宋体" w:hAnsi="宋体"/>
          <w:color w:val="000000"/>
        </w:rPr>
        <w:t>c-Jun</w:t>
      </w:r>
      <w:r>
        <w:rPr>
          <w:rFonts w:hint="eastAsia" w:ascii="宋体" w:hAnsi="宋体"/>
          <w:color w:val="000000"/>
        </w:rPr>
        <w:t>及卵黄蛋白原的表达规律</w:t>
      </w:r>
      <w:r>
        <w:rPr>
          <w:rFonts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关键词：</w:t>
      </w:r>
      <w:r>
        <w:rPr>
          <w:rFonts w:ascii="宋体" w:hAnsi="宋体"/>
          <w:color w:val="000000"/>
        </w:rPr>
        <w:t>GnRH</w:t>
      </w:r>
      <w:r>
        <w:rPr>
          <w:rFonts w:hint="eastAsia" w:ascii="宋体" w:hAnsi="宋体"/>
          <w:bCs/>
          <w:color w:val="000000"/>
        </w:rPr>
        <w:t>；神经系统；卵巢；斑节对虾</w:t>
      </w:r>
      <w:r>
        <w:rPr>
          <w:rFonts w:ascii="宋体" w:hAnsi="宋体"/>
          <w:bCs/>
          <w:color w:val="000000"/>
        </w:rPr>
        <w:t xml:space="preserve">; </w:t>
      </w:r>
      <w:r>
        <w:rPr>
          <w:rFonts w:hint="eastAsia" w:ascii="宋体" w:hAnsi="宋体"/>
          <w:bCs/>
          <w:color w:val="000000"/>
        </w:rPr>
        <w:t>免疫组化；卵黄蛋白原；</w:t>
      </w:r>
      <w:r>
        <w:rPr>
          <w:rFonts w:ascii="宋体" w:hAnsi="宋体"/>
          <w:bCs/>
          <w:color w:val="000000"/>
        </w:rPr>
        <w:t>qPCR</w:t>
      </w:r>
      <w:r>
        <w:rPr>
          <w:rFonts w:ascii="宋体" w:hAnsi="宋体"/>
          <w:b/>
          <w:bCs/>
          <w:color w:val="000000"/>
        </w:rPr>
        <w:t xml:space="preserve"> </w:t>
      </w:r>
    </w:p>
    <w:p>
      <w:pPr>
        <w:spacing w:line="360" w:lineRule="exact"/>
        <w:jc w:val="center"/>
        <w:rPr>
          <w:b/>
          <w:bCs/>
          <w:color w:val="000000"/>
          <w:sz w:val="32"/>
          <w:szCs w:val="32"/>
        </w:rPr>
      </w:pPr>
    </w:p>
    <w:p>
      <w:pPr>
        <w:spacing w:line="360" w:lineRule="exac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 xml:space="preserve">The identiﬁcation and distribution of gonadotropin releasing hormone in the central nervous system and ovary of each stages in </w:t>
      </w:r>
      <w:r>
        <w:rPr>
          <w:b/>
          <w:bCs/>
          <w:i/>
          <w:color w:val="000000"/>
          <w:sz w:val="32"/>
          <w:szCs w:val="32"/>
        </w:rPr>
        <w:t>Penaeus monodon</w:t>
      </w:r>
    </w:p>
    <w:p>
      <w:pPr>
        <w:ind w:firstLine="570"/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HAN Ping, YANG Lishi, YANG Qibin, HUANG Jianhua ZHOU Falin JIANG Shigui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(South China Sea Fisheries Research Institute, Chinese Academy of Fishery Sciences, Guangzhou 510300)</w:t>
      </w:r>
    </w:p>
    <w:p>
      <w:pPr>
        <w:rPr>
          <w:color w:val="000000"/>
        </w:rPr>
      </w:pPr>
    </w:p>
    <w:p>
      <w:pPr>
        <w:spacing w:line="300" w:lineRule="exact"/>
        <w:rPr>
          <w:color w:val="000000"/>
        </w:rPr>
      </w:pPr>
      <w:r>
        <w:rPr>
          <w:b/>
          <w:bCs/>
          <w:color w:val="000000"/>
        </w:rPr>
        <w:t>Abstract:</w:t>
      </w:r>
      <w:r>
        <w:rPr>
          <w:color w:val="000000"/>
        </w:rPr>
        <w:t xml:space="preserve"> Gonadotropin-releasing hormone (GnRH) plays important roles in reproduction. In the present study, we demonstrated the existence of GnRH-like peptides in the central nervous system (CNS) and ovary of each stage in </w:t>
      </w:r>
      <w:r>
        <w:rPr>
          <w:i/>
          <w:color w:val="000000"/>
        </w:rPr>
        <w:t>Penaeus monodon</w:t>
      </w:r>
      <w:r>
        <w:rPr>
          <w:color w:val="000000"/>
        </w:rPr>
        <w:t xml:space="preserve"> using immunocytochemistry and quantitative real-time PCR of c-jun and vitellogenin expression quantity. The immunoreactivity (ir) of GnRH was detected in the of medium-sized neurons located in deutocerebrum, both medium-sized and large-sized neurons in thoracic ganglia and abdominal ganglion.</w:t>
      </w:r>
    </w:p>
    <w:p>
      <w:pPr>
        <w:spacing w:line="300" w:lineRule="exact"/>
        <w:ind w:firstLine="570"/>
        <w:rPr>
          <w:color w:val="000000"/>
        </w:rPr>
      </w:pPr>
    </w:p>
    <w:p>
      <w:pPr>
        <w:spacing w:line="3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b/>
          <w:bCs/>
          <w:color w:val="000000"/>
        </w:rPr>
        <w:t>Key words:</w:t>
      </w:r>
      <w:r>
        <w:rPr>
          <w:color w:val="000000"/>
        </w:rPr>
        <w:t xml:space="preserve"> </w:t>
      </w:r>
      <w:r>
        <w:rPr>
          <w:bCs/>
          <w:color w:val="000000"/>
        </w:rPr>
        <w:t xml:space="preserve">GnRH, CNS, ovarian maturation, </w:t>
      </w:r>
      <w:r>
        <w:rPr>
          <w:bCs/>
          <w:i/>
          <w:color w:val="000000"/>
        </w:rPr>
        <w:t>Penaeus monodon</w:t>
      </w:r>
      <w:r>
        <w:rPr>
          <w:bCs/>
          <w:color w:val="000000"/>
        </w:rPr>
        <w:t>, immunocytochemistry, qPCR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5F9EBBA-3FD4-42A4-A2DF-27EFF7972C7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0486205-7128-4A2F-B2C0-8CE2F75E3E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718CC9-2307-4D5E-856D-964B47B8C46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813DCAA9-1355-4DA8-B376-30DAF8C9EB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9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2021-08-19T06:36:07Z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849411496A854343B4BBF56863DE797A</vt:lpwstr>
  </property>
</Properties>
</file>