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AFE9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97A4ED9">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E608FC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0700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243ABE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1DBC4B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419B49B">
                  <w:pPr>
                    <w:pStyle w:val="50"/>
                    <w:framePr w:wrap="notBeside" w:vAnchor="page" w:hAnchor="page" w:x="1372" w:y="568"/>
                    <w:ind w:left="420" w:right="624"/>
                    <w:rPr>
                      <w:rFonts w:ascii="宋体" w:hAnsi="宋体"/>
                      <w:sz w:val="28"/>
                      <w:szCs w:val="28"/>
                      <w:highlight w:val="yellow"/>
                    </w:rPr>
                  </w:pPr>
                  <w:r>
                    <w:rPr>
                      <w:highlight w:val="none"/>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highlight w:val="none"/>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highlight w:val="none"/>
                    </w:rPr>
                    <w:t xml:space="preserve"> </w:t>
                  </w:r>
                  <w:r>
                    <w:rPr>
                      <w:highlight w:val="none"/>
                    </w:rPr>
                    <w:fldChar w:fldCharType="begin">
                      <w:ffData>
                        <w:name w:val="c1"/>
                        <w:enabled/>
                        <w:calcOnExit w:val="0"/>
                        <w:textInput>
                          <w:maxLength w:val="7"/>
                        </w:textInput>
                      </w:ffData>
                    </w:fldChar>
                  </w:r>
                  <w:bookmarkStart w:id="1" w:name="c1"/>
                  <w:r>
                    <w:rPr>
                      <w:highlight w:val="none"/>
                    </w:rPr>
                    <w:instrText xml:space="preserve"> FORMTEXT </w:instrText>
                  </w:r>
                  <w:r>
                    <w:rPr>
                      <w:highlight w:val="none"/>
                    </w:rPr>
                    <w:fldChar w:fldCharType="separate"/>
                  </w:r>
                  <w:r>
                    <w:rPr>
                      <w:rFonts w:hint="eastAsia"/>
                      <w:highlight w:val="none"/>
                    </w:rPr>
                    <w:t>SCSF</w:t>
                  </w:r>
                  <w:r>
                    <w:rPr>
                      <w:highlight w:val="none"/>
                    </w:rPr>
                    <w:fldChar w:fldCharType="end"/>
                  </w:r>
                  <w:bookmarkEnd w:id="1"/>
                </w:p>
              </w:tc>
            </w:tr>
          </w:tbl>
          <w:p w14:paraId="19196E7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点击此处添加CCS号</w:t>
            </w:r>
            <w:r>
              <w:rPr>
                <w:rFonts w:ascii="黑体" w:hAnsi="黑体" w:eastAsia="黑体"/>
                <w:sz w:val="21"/>
                <w:szCs w:val="21"/>
              </w:rPr>
              <w:fldChar w:fldCharType="end"/>
            </w:r>
            <w:bookmarkEnd w:id="2"/>
          </w:p>
        </w:tc>
      </w:tr>
    </w:tbl>
    <w:p w14:paraId="2ED7455E">
      <w:pPr>
        <w:pStyle w:val="51"/>
        <w:framePr w:w="7023" w:h="589" w:hRule="exact" w:hSpace="181" w:vSpace="181" w:wrap="around" w:hAnchor="page" w:x="2820" w:y="2413"/>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06737CF">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SCSF</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386D81AC">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7CB18BC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B43EDEA">
      <w:pPr>
        <w:pStyle w:val="51"/>
        <w:framePr w:w="9639" w:h="6976" w:hRule="exact" w:hSpace="0" w:vSpace="0" w:wrap="around" w:hAnchor="page" w:y="6408"/>
        <w:jc w:val="center"/>
        <w:rPr>
          <w:rFonts w:ascii="黑体" w:hAnsi="黑体" w:eastAsia="黑体"/>
          <w:b w:val="0"/>
          <w:bCs w:val="0"/>
          <w:w w:val="100"/>
        </w:rPr>
      </w:pPr>
    </w:p>
    <w:p w14:paraId="74A72D5A">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 xml:space="preserve">水产养殖调水用品安全性评价技术规范 </w:t>
      </w:r>
    </w:p>
    <w:p w14:paraId="31B728DA">
      <w:pPr>
        <w:pStyle w:val="198"/>
        <w:framePr w:h="6974" w:hRule="exact" w:wrap="around" w:x="1419" w:anchorLock="1"/>
      </w:pPr>
      <w:r>
        <w:rPr>
          <w:rFonts w:hint="eastAsia"/>
        </w:rPr>
        <w:t>第</w:t>
      </w:r>
      <w:r>
        <w:rPr>
          <w:rFonts w:hint="eastAsia"/>
          <w:lang w:val="en-US" w:eastAsia="zh-CN"/>
        </w:rPr>
        <w:t>1</w:t>
      </w:r>
      <w:r>
        <w:rPr>
          <w:rFonts w:hint="eastAsia"/>
        </w:rPr>
        <w:t>部分：化学类</w:t>
      </w:r>
      <w:r>
        <w:fldChar w:fldCharType="end"/>
      </w:r>
      <w:bookmarkEnd w:id="8"/>
    </w:p>
    <w:p w14:paraId="3A3BFFEA">
      <w:pPr>
        <w:framePr w:w="9639" w:h="6974" w:hRule="exact" w:wrap="around" w:vAnchor="page" w:hAnchor="page" w:x="1419" w:y="6408" w:anchorLock="1"/>
        <w:ind w:left="-1418"/>
      </w:pPr>
    </w:p>
    <w:p w14:paraId="36E28521">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Technical specification for safety assessment of aquacultural water conditioning supplies </w:t>
      </w:r>
    </w:p>
    <w:p w14:paraId="53D6B969">
      <w:pPr>
        <w:pStyle w:val="126"/>
        <w:framePr w:w="9639" w:h="6974" w:hRule="exact" w:wrap="around" w:vAnchor="page" w:hAnchor="page" w:x="1419" w:y="6408" w:anchorLock="1"/>
        <w:textAlignment w:val="bottom"/>
        <w:rPr>
          <w:rFonts w:eastAsia="黑体"/>
          <w:szCs w:val="28"/>
        </w:rPr>
      </w:pPr>
      <w:r>
        <w:rPr>
          <w:rFonts w:hint="eastAsia" w:eastAsia="黑体"/>
          <w:szCs w:val="28"/>
        </w:rPr>
        <w:t xml:space="preserve">Part </w:t>
      </w:r>
      <w:r>
        <w:rPr>
          <w:rFonts w:hint="eastAsia" w:eastAsia="黑体"/>
          <w:szCs w:val="28"/>
          <w:lang w:val="en-US" w:eastAsia="zh-CN"/>
        </w:rPr>
        <w:t>1</w:t>
      </w:r>
      <w:bookmarkStart w:id="46" w:name="_GoBack"/>
      <w:bookmarkEnd w:id="46"/>
      <w:r>
        <w:rPr>
          <w:rFonts w:hint="eastAsia" w:eastAsia="黑体"/>
          <w:szCs w:val="28"/>
        </w:rPr>
        <w:t>: Chemical agents</w:t>
      </w:r>
      <w:r>
        <w:rPr>
          <w:rFonts w:eastAsia="黑体"/>
          <w:szCs w:val="28"/>
        </w:rPr>
        <w:fldChar w:fldCharType="end"/>
      </w:r>
      <w:bookmarkEnd w:id="9"/>
    </w:p>
    <w:p w14:paraId="55FD45D0">
      <w:pPr>
        <w:framePr w:w="9639" w:h="6974" w:hRule="exact" w:wrap="around" w:vAnchor="page" w:hAnchor="page" w:x="1419" w:y="6408" w:anchorLock="1"/>
        <w:spacing w:line="760" w:lineRule="exact"/>
        <w:ind w:left="-1418"/>
      </w:pPr>
    </w:p>
    <w:p w14:paraId="3BD66B0F">
      <w:pPr>
        <w:pStyle w:val="126"/>
        <w:framePr w:w="9639" w:h="6974" w:hRule="exact" w:wrap="around" w:vAnchor="page" w:hAnchor="page" w:x="1419" w:y="6408" w:anchorLock="1"/>
        <w:textAlignment w:val="bottom"/>
        <w:rPr>
          <w:rFonts w:eastAsia="黑体"/>
          <w:szCs w:val="28"/>
        </w:rPr>
      </w:pPr>
    </w:p>
    <w:p w14:paraId="47D9D2AD">
      <w:pPr>
        <w:pStyle w:val="126"/>
        <w:framePr w:w="9639" w:h="6974" w:hRule="exact" w:wrap="around" w:vAnchor="page" w:hAnchor="page" w:x="1419" w:y="6408" w:anchorLock="1"/>
        <w:spacing w:before="440" w:after="160"/>
        <w:textAlignment w:val="bottom"/>
        <w:rPr>
          <w:sz w:val="24"/>
          <w:szCs w:val="28"/>
        </w:rPr>
      </w:pPr>
      <w:bookmarkStart w:id="10"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征求意见稿）"/>
              <w:listEntry w:val="（工作组讨论稿）"/>
              <w:listEntry w:val="草案版次选择"/>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0"/>
    </w:p>
    <w:p w14:paraId="079B5F55">
      <w:pPr>
        <w:pStyle w:val="126"/>
        <w:framePr w:w="9639" w:h="6974" w:hRule="exact" w:wrap="around" w:vAnchor="page" w:hAnchor="page" w:x="1419" w:y="6408" w:anchorLock="1"/>
        <w:spacing w:before="440" w:after="160"/>
        <w:textAlignment w:val="bottom"/>
        <w:rPr>
          <w:sz w:val="24"/>
          <w:szCs w:val="28"/>
        </w:rPr>
      </w:pPr>
    </w:p>
    <w:p w14:paraId="4809C56C">
      <w:pPr>
        <w:pStyle w:val="126"/>
        <w:framePr w:w="9639" w:h="6974" w:hRule="exact" w:wrap="around" w:vAnchor="page" w:hAnchor="page" w:x="1419" w:y="6408" w:anchorLock="1"/>
        <w:spacing w:before="180" w:line="240" w:lineRule="atLeast"/>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3767F4CE">
      <w:pPr>
        <w:pStyle w:val="194"/>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7E968631">
      <w:pPr>
        <w:pStyle w:val="195"/>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633A8B9D">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中</w:t>
      </w:r>
      <w:r>
        <w:rPr>
          <w:rFonts w:hint="eastAsia" w:hAnsi="黑体"/>
          <w:w w:val="100"/>
          <w:sz w:val="28"/>
        </w:rPr>
        <w:t>国水产学会</w:t>
      </w:r>
      <w:r>
        <w:rPr>
          <w:rFonts w:hAnsi="黑体"/>
          <w:w w:val="100"/>
          <w:sz w:val="28"/>
        </w:rPr>
        <w:fldChar w:fldCharType="end"/>
      </w:r>
      <w:bookmarkEnd w:id="18"/>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284DE10B">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647CA62">
      <w:pPr>
        <w:pStyle w:val="90"/>
        <w:spacing w:before="560" w:after="360"/>
      </w:pPr>
      <w:bookmarkStart w:id="19" w:name="BookMark2"/>
      <w:r>
        <w:rPr>
          <w:rFonts w:hint="eastAsia"/>
          <w:spacing w:val="320"/>
        </w:rPr>
        <w:t>前</w:t>
      </w:r>
      <w:r>
        <w:rPr>
          <w:rFonts w:hint="eastAsia"/>
        </w:rPr>
        <w:t>言</w:t>
      </w:r>
    </w:p>
    <w:p w14:paraId="1B8DB7CA">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14:paraId="25AAF396">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lang w:val="en-US" w:eastAsia="zh-CN"/>
        </w:rPr>
        <w:t>本文件是</w:t>
      </w:r>
      <w:r>
        <w:rPr>
          <w:rFonts w:hint="default" w:ascii="Times New Roman" w:hAnsi="Times New Roman" w:cs="Times New Roman"/>
        </w:rPr>
        <w:t>T/SCSF***《水产养殖用调水用品生物安全性评价技术规范》</w:t>
      </w:r>
      <w:r>
        <w:rPr>
          <w:rFonts w:hint="default" w:ascii="Times New Roman" w:hAnsi="Times New Roman" w:cs="Times New Roman"/>
          <w:lang w:val="en-US" w:eastAsia="zh-CN"/>
        </w:rPr>
        <w:t>的第1部分。</w:t>
      </w:r>
      <w:r>
        <w:rPr>
          <w:rFonts w:hint="default" w:ascii="Times New Roman" w:hAnsi="Times New Roman" w:cs="Times New Roman"/>
        </w:rPr>
        <w:t>T/SCSF***</w:t>
      </w:r>
      <w:r>
        <w:rPr>
          <w:rFonts w:hint="default" w:ascii="Times New Roman" w:hAnsi="Times New Roman" w:cs="Times New Roman"/>
          <w:lang w:val="en-US" w:eastAsia="zh-CN"/>
        </w:rPr>
        <w:t>已经发布了以下</w:t>
      </w:r>
      <w:r>
        <w:rPr>
          <w:rFonts w:hint="default" w:ascii="Times New Roman" w:hAnsi="Times New Roman" w:cs="Times New Roman"/>
        </w:rPr>
        <w:t>部分：</w:t>
      </w:r>
    </w:p>
    <w:p w14:paraId="71A69A71">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——第1部分：化学类</w:t>
      </w:r>
    </w:p>
    <w:p w14:paraId="24EAB906">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——第2部分：生物类</w:t>
      </w:r>
    </w:p>
    <w:p w14:paraId="14CDF77C">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请注意本文件的某些内容可能涉及专利。本文件的发布机构不承担识别这些专利的责任。</w:t>
      </w:r>
    </w:p>
    <w:p w14:paraId="10EF5F18">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lang w:val="en-US" w:eastAsia="zh-CN"/>
        </w:rPr>
        <w:t>文件</w:t>
      </w:r>
      <w:r>
        <w:rPr>
          <w:rFonts w:hint="default" w:ascii="Times New Roman" w:hAnsi="Times New Roman" w:cs="Times New Roman"/>
        </w:rPr>
        <w:t>由中国水产学会归口。</w:t>
      </w:r>
    </w:p>
    <w:p w14:paraId="08B412FB">
      <w:pPr>
        <w:pStyle w:val="23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rPr>
        <w:t>本文件起草单位：全国水产技术推广总站</w:t>
      </w:r>
    </w:p>
    <w:p w14:paraId="5F9DE948">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sectPr>
          <w:headerReference r:id="rId10" w:type="default"/>
          <w:footerReference r:id="rId11" w:type="default"/>
          <w:pgSz w:w="11906" w:h="16838"/>
          <w:pgMar w:top="1928" w:right="1134" w:bottom="1134" w:left="1134" w:header="1418" w:footer="1134" w:gutter="284"/>
          <w:pgNumType w:fmt="upperRoman" w:start="1"/>
          <w:cols w:space="425" w:num="1"/>
          <w:formProt w:val="0"/>
          <w:docGrid w:linePitch="312" w:charSpace="0"/>
        </w:sectPr>
      </w:pPr>
      <w:r>
        <w:rPr>
          <w:rFonts w:hint="default" w:ascii="Times New Roman" w:hAnsi="Times New Roman" w:cs="Times New Roman"/>
        </w:rPr>
        <w:t>本文件主要起草人：</w:t>
      </w:r>
    </w:p>
    <w:bookmarkEnd w:id="19"/>
    <w:p w14:paraId="0F051B7E">
      <w:pPr>
        <w:spacing w:line="20" w:lineRule="exact"/>
        <w:jc w:val="center"/>
        <w:rPr>
          <w:rFonts w:ascii="黑体" w:hAnsi="黑体" w:eastAsia="黑体"/>
          <w:sz w:val="32"/>
          <w:szCs w:val="32"/>
        </w:rPr>
      </w:pPr>
      <w:bookmarkStart w:id="20" w:name="BookMark4"/>
    </w:p>
    <w:p w14:paraId="1D7F6207">
      <w:pPr>
        <w:spacing w:line="20" w:lineRule="exact"/>
        <w:jc w:val="center"/>
        <w:rPr>
          <w:rFonts w:ascii="黑体" w:hAnsi="黑体" w:eastAsia="黑体"/>
          <w:sz w:val="32"/>
          <w:szCs w:val="32"/>
        </w:rPr>
      </w:pPr>
    </w:p>
    <w:sdt>
      <w:sdtPr>
        <w:tag w:val="NEW_STAND_NAME"/>
        <w:id w:val="595910757"/>
        <w:lock w:val="sdtLocked"/>
        <w:placeholder>
          <w:docPart w:val="5A3A2D58D6D849859A51C62D26ECAB3F"/>
        </w:placeholder>
      </w:sdtPr>
      <w:sdtContent>
        <w:p w14:paraId="598EF150">
          <w:pPr>
            <w:pStyle w:val="178"/>
            <w:keepNext w:val="0"/>
            <w:keepLines w:val="0"/>
            <w:pageBreakBefore w:val="0"/>
            <w:widowControl/>
            <w:kinsoku/>
            <w:wordWrap/>
            <w:overflowPunct/>
            <w:topLinePunct w:val="0"/>
            <w:autoSpaceDE/>
            <w:autoSpaceDN/>
            <w:bidi w:val="0"/>
            <w:adjustRightInd/>
            <w:snapToGrid/>
            <w:spacing w:before="640" w:after="560"/>
            <w:textAlignment w:val="auto"/>
          </w:pPr>
          <w:bookmarkStart w:id="21" w:name="NEW_STAND_NAME"/>
          <w:r>
            <w:rPr>
              <w:rFonts w:hint="eastAsia"/>
            </w:rPr>
            <w:t>水产养殖调水用品安全性评价技术规范 第</w:t>
          </w:r>
          <w:r>
            <w:rPr>
              <w:rFonts w:hint="eastAsia"/>
              <w:lang w:val="en-US" w:eastAsia="zh-CN"/>
            </w:rPr>
            <w:t>1</w:t>
          </w:r>
          <w:r>
            <w:rPr>
              <w:rFonts w:hint="eastAsia"/>
            </w:rPr>
            <w:t>部分：化学类</w:t>
          </w:r>
        </w:p>
      </w:sdtContent>
    </w:sdt>
    <w:bookmarkEnd w:id="21"/>
    <w:p w14:paraId="5FED350E">
      <w:pPr>
        <w:pStyle w:val="105"/>
        <w:spacing w:before="240" w:after="240"/>
        <w:rPr>
          <w:spacing w:val="0"/>
          <w:w w:val="100"/>
        </w:rPr>
      </w:pPr>
      <w:bookmarkStart w:id="22" w:name="_Toc26718930"/>
      <w:bookmarkStart w:id="23" w:name="_Toc97192964"/>
      <w:bookmarkStart w:id="24" w:name="_Toc26648465"/>
      <w:bookmarkStart w:id="25" w:name="_Toc24884211"/>
      <w:bookmarkStart w:id="26" w:name="_Toc26986771"/>
      <w:bookmarkStart w:id="27" w:name="_Toc17233325"/>
      <w:bookmarkStart w:id="28" w:name="_Toc17233333"/>
      <w:bookmarkStart w:id="29" w:name="_Toc26986530"/>
      <w:bookmarkStart w:id="30" w:name="_Toc24884218"/>
      <w:r>
        <w:rPr>
          <w:rFonts w:hint="eastAsia"/>
          <w:spacing w:val="0"/>
          <w:w w:val="100"/>
        </w:rPr>
        <w:t>范围</w:t>
      </w:r>
      <w:bookmarkEnd w:id="22"/>
      <w:bookmarkEnd w:id="23"/>
      <w:bookmarkEnd w:id="24"/>
      <w:bookmarkEnd w:id="25"/>
      <w:bookmarkEnd w:id="26"/>
      <w:bookmarkEnd w:id="27"/>
      <w:bookmarkEnd w:id="28"/>
      <w:bookmarkEnd w:id="29"/>
      <w:bookmarkEnd w:id="30"/>
    </w:p>
    <w:p w14:paraId="2821CFA3">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spacing w:val="0"/>
          <w:w w:val="100"/>
        </w:rPr>
      </w:pPr>
      <w:bookmarkStart w:id="31" w:name="_Toc24884212"/>
      <w:bookmarkStart w:id="32" w:name="_Toc26648466"/>
      <w:bookmarkStart w:id="33" w:name="_Toc17233326"/>
      <w:bookmarkStart w:id="34" w:name="_Toc17233334"/>
      <w:bookmarkStart w:id="35" w:name="_Toc24884219"/>
      <w:r>
        <w:rPr>
          <w:rFonts w:hint="eastAsia"/>
          <w:spacing w:val="0"/>
          <w:w w:val="100"/>
        </w:rPr>
        <w:t>本文件规定了水产养殖调水用品（化学类）安全性评价的要求、评价内容与方法、评价程序、评价结果、报告和资料存档。</w:t>
      </w:r>
    </w:p>
    <w:p w14:paraId="473CE308">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spacing w:val="0"/>
          <w:w w:val="100"/>
        </w:rPr>
      </w:pPr>
      <w:r>
        <w:rPr>
          <w:rFonts w:hint="eastAsia"/>
          <w:spacing w:val="0"/>
          <w:w w:val="100"/>
        </w:rPr>
        <w:t>本文件适用于水产养殖调水用品（化学类）的安全性评价。</w:t>
      </w:r>
    </w:p>
    <w:p w14:paraId="61C1C3D9">
      <w:pPr>
        <w:pStyle w:val="105"/>
        <w:spacing w:before="240" w:after="240"/>
        <w:rPr>
          <w:spacing w:val="0"/>
          <w:w w:val="100"/>
        </w:rPr>
      </w:pPr>
      <w:bookmarkStart w:id="36" w:name="_Toc26986531"/>
      <w:bookmarkStart w:id="37" w:name="_Toc97192965"/>
      <w:bookmarkStart w:id="38" w:name="_Toc26718931"/>
      <w:bookmarkStart w:id="39" w:name="_Toc26986772"/>
      <w:r>
        <w:rPr>
          <w:rFonts w:hint="eastAsia"/>
          <w:spacing w:val="0"/>
          <w:w w:val="100"/>
        </w:rPr>
        <w:t>规范性引用文件</w:t>
      </w:r>
      <w:bookmarkEnd w:id="31"/>
      <w:bookmarkEnd w:id="32"/>
      <w:bookmarkEnd w:id="33"/>
      <w:bookmarkEnd w:id="34"/>
      <w:bookmarkEnd w:id="35"/>
      <w:bookmarkEnd w:id="36"/>
      <w:bookmarkEnd w:id="37"/>
      <w:bookmarkEnd w:id="38"/>
      <w:bookmarkEnd w:id="39"/>
    </w:p>
    <w:sdt>
      <w:sdtPr>
        <w:rPr>
          <w:rFonts w:hint="eastAsia"/>
          <w:spacing w:val="0"/>
          <w:w w:val="100"/>
        </w:rPr>
        <w:id w:val="715848253"/>
        <w:placeholder>
          <w:docPart w:val="05658745C3E14888A81E58AC3CD142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spacing w:val="0"/>
          <w:w w:val="100"/>
        </w:rPr>
      </w:sdtEndPr>
      <w:sdtContent>
        <w:p w14:paraId="05CD6251">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spacing w:val="0"/>
              <w:w w:val="100"/>
            </w:rPr>
          </w:pPr>
          <w:r>
            <w:rPr>
              <w:rFonts w:hint="default"/>
              <w:spacing w:val="0"/>
              <w:w w:val="100"/>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171E579">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GB</w:t>
      </w:r>
      <w:r>
        <w:rPr>
          <w:rFonts w:hint="default" w:ascii="Times New Roman" w:hAnsi="Times New Roman" w:cs="Times New Roman"/>
          <w:spacing w:val="0"/>
          <w:w w:val="100"/>
          <w:lang w:val="en-US" w:eastAsia="zh-CN"/>
        </w:rPr>
        <w:t>/</w:t>
      </w:r>
      <w:r>
        <w:rPr>
          <w:rFonts w:hint="default" w:ascii="Times New Roman" w:hAnsi="Times New Roman" w:cs="Times New Roman"/>
          <w:spacing w:val="0"/>
          <w:w w:val="100"/>
        </w:rPr>
        <w:t>T 16125  大型溞急性毒性实验方法</w:t>
      </w:r>
    </w:p>
    <w:p w14:paraId="3E447F83">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GB/T 22213  水产养殖术语</w:t>
      </w:r>
    </w:p>
    <w:p w14:paraId="1676983E">
      <w:pPr>
        <w:pStyle w:val="105"/>
        <w:spacing w:before="240" w:after="240"/>
        <w:rPr>
          <w:spacing w:val="0"/>
          <w:w w:val="100"/>
        </w:rPr>
      </w:pPr>
      <w:bookmarkStart w:id="40" w:name="_Toc97192966"/>
      <w:r>
        <w:rPr>
          <w:rFonts w:hint="eastAsia"/>
          <w:spacing w:val="0"/>
          <w:w w:val="100"/>
          <w:szCs w:val="21"/>
        </w:rPr>
        <w:t>术语和定义</w:t>
      </w:r>
      <w:bookmarkEnd w:id="40"/>
    </w:p>
    <w:p w14:paraId="5855B487">
      <w:pPr>
        <w:pStyle w:val="57"/>
        <w:ind w:firstLine="420"/>
        <w:rPr>
          <w:rFonts w:hint="default" w:ascii="Times New Roman" w:hAnsi="Times New Roman" w:cs="Times New Roman"/>
          <w:spacing w:val="0"/>
          <w:w w:val="100"/>
        </w:rPr>
      </w:pPr>
      <w:bookmarkStart w:id="41" w:name="_Toc26986532"/>
      <w:bookmarkEnd w:id="41"/>
      <w:sdt>
        <w:sdtPr>
          <w:rPr>
            <w:spacing w:val="0"/>
            <w:w w:val="100"/>
          </w:rPr>
          <w:id w:val="-1909835108"/>
          <w:placeholder>
            <w:docPart w:val="11AEB22BF1624B07B8F340787C90C3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spacing w:val="0"/>
            <w:w w:val="100"/>
          </w:rPr>
        </w:sdtEndPr>
        <w:sdtContent>
          <w:r>
            <w:rPr>
              <w:rFonts w:hint="default" w:ascii="Times New Roman" w:hAnsi="Times New Roman" w:cs="Times New Roman"/>
              <w:spacing w:val="0"/>
              <w:w w:val="100"/>
            </w:rPr>
            <w:t>GB/T 22213界定的以及下列术语和定义适用于本文件。</w:t>
          </w:r>
        </w:sdtContent>
      </w:sdt>
    </w:p>
    <w:p w14:paraId="0D4BA02C">
      <w:pPr>
        <w:pStyle w:val="224"/>
        <w:keepNext w:val="0"/>
        <w:keepLines w:val="0"/>
        <w:pageBreakBefore w:val="0"/>
        <w:widowControl/>
        <w:kinsoku/>
        <w:wordWrap/>
        <w:overflowPunct/>
        <w:topLinePunct w:val="0"/>
        <w:bidi w:val="0"/>
        <w:adjustRightInd/>
        <w:snapToGrid/>
        <w:spacing w:line="276" w:lineRule="auto"/>
        <w:ind w:left="420" w:hanging="420" w:hangingChars="200"/>
        <w:textAlignment w:val="auto"/>
        <w:rPr>
          <w:rFonts w:hint="default" w:ascii="Times New Roman" w:hAnsi="Times New Roman" w:eastAsia="黑体" w:cs="Times New Roman"/>
          <w:spacing w:val="0"/>
          <w:w w:val="100"/>
        </w:rPr>
      </w:pPr>
      <w:r>
        <w:rPr>
          <w:rFonts w:ascii="黑体" w:hAnsi="黑体" w:eastAsia="黑体"/>
          <w:spacing w:val="0"/>
          <w:w w:val="100"/>
        </w:rPr>
        <w:br w:type="textWrapping"/>
      </w:r>
      <w:r>
        <w:rPr>
          <w:rFonts w:hint="default" w:ascii="Times New Roman" w:hAnsi="Times New Roman" w:eastAsia="黑体" w:cs="Times New Roman"/>
          <w:spacing w:val="0"/>
          <w:w w:val="100"/>
        </w:rPr>
        <w:t>水产养殖调水用品</w:t>
      </w:r>
      <w:r>
        <w:rPr>
          <w:rFonts w:hint="eastAsia" w:ascii="Times New Roman" w:eastAsia="黑体" w:cs="Times New Roman"/>
          <w:spacing w:val="0"/>
          <w:w w:val="100"/>
          <w:lang w:val="en-US" w:eastAsia="zh-CN"/>
        </w:rPr>
        <w:t xml:space="preserve"> </w:t>
      </w:r>
      <w:r>
        <w:rPr>
          <w:rFonts w:hint="default" w:ascii="Times New Roman" w:hAnsi="Times New Roman" w:eastAsia="黑体" w:cs="Times New Roman"/>
          <w:spacing w:val="0"/>
          <w:w w:val="100"/>
        </w:rPr>
        <w:t>water conditioning supplies for aquaculture</w:t>
      </w:r>
    </w:p>
    <w:p w14:paraId="7F96F87E">
      <w:pPr>
        <w:pStyle w:val="57"/>
        <w:keepNext w:val="0"/>
        <w:keepLines w:val="0"/>
        <w:pageBreakBefore w:val="0"/>
        <w:widowControl/>
        <w:kinsoku/>
        <w:wordWrap/>
        <w:overflowPunct/>
        <w:topLinePunct w:val="0"/>
        <w:bidi w:val="0"/>
        <w:adjustRightInd/>
        <w:snapToGrid/>
        <w:spacing w:line="276" w:lineRule="auto"/>
        <w:ind w:firstLine="420"/>
        <w:textAlignment w:val="auto"/>
        <w:rPr>
          <w:spacing w:val="0"/>
          <w:w w:val="100"/>
        </w:rPr>
      </w:pPr>
      <w:r>
        <w:rPr>
          <w:rFonts w:hint="eastAsia"/>
          <w:spacing w:val="0"/>
          <w:w w:val="100"/>
        </w:rPr>
        <w:t>调节养殖水体水质、底质理化指标，调节浮游生物、微生物和水生植物生长，改善养殖动物生长环境的化学合成或者来源于生物、其他天然物质的一种物质或者几种物质的混合物及其制剂。</w:t>
      </w:r>
    </w:p>
    <w:p w14:paraId="719D4F78">
      <w:pPr>
        <w:pStyle w:val="224"/>
        <w:keepNext w:val="0"/>
        <w:keepLines w:val="0"/>
        <w:pageBreakBefore w:val="0"/>
        <w:widowControl/>
        <w:kinsoku/>
        <w:wordWrap/>
        <w:overflowPunct/>
        <w:topLinePunct w:val="0"/>
        <w:bidi w:val="0"/>
        <w:adjustRightInd/>
        <w:snapToGrid/>
        <w:spacing w:line="276" w:lineRule="auto"/>
        <w:ind w:left="420" w:hanging="420" w:hangingChars="200"/>
        <w:textAlignment w:val="auto"/>
        <w:rPr>
          <w:rFonts w:hint="default" w:ascii="Times New Roman" w:hAnsi="Times New Roman" w:eastAsia="黑体" w:cs="Times New Roman"/>
          <w:spacing w:val="0"/>
          <w:w w:val="100"/>
        </w:rPr>
      </w:pPr>
      <w:r>
        <w:rPr>
          <w:rFonts w:ascii="黑体" w:hAnsi="黑体" w:eastAsia="黑体"/>
          <w:spacing w:val="0"/>
          <w:w w:val="100"/>
        </w:rPr>
        <w:br w:type="textWrapping"/>
      </w:r>
      <w:r>
        <w:rPr>
          <w:rFonts w:hint="default" w:ascii="Times New Roman" w:hAnsi="Times New Roman" w:eastAsia="黑体" w:cs="Times New Roman"/>
          <w:spacing w:val="0"/>
          <w:w w:val="100"/>
        </w:rPr>
        <w:t>水产养殖调水用品（化学类）water conditioning supplies for aquaculture（chemical）</w:t>
      </w:r>
    </w:p>
    <w:p w14:paraId="0C8C6553">
      <w:pPr>
        <w:pStyle w:val="57"/>
        <w:keepNext w:val="0"/>
        <w:keepLines w:val="0"/>
        <w:pageBreakBefore w:val="0"/>
        <w:widowControl/>
        <w:kinsoku/>
        <w:wordWrap/>
        <w:overflowPunct/>
        <w:topLinePunct w:val="0"/>
        <w:bidi w:val="0"/>
        <w:adjustRightInd/>
        <w:snapToGrid/>
        <w:spacing w:line="276" w:lineRule="auto"/>
        <w:ind w:firstLine="420"/>
        <w:textAlignment w:val="auto"/>
        <w:rPr>
          <w:spacing w:val="0"/>
          <w:w w:val="100"/>
        </w:rPr>
      </w:pPr>
      <w:r>
        <w:rPr>
          <w:rFonts w:hint="eastAsia"/>
          <w:spacing w:val="0"/>
          <w:w w:val="100"/>
        </w:rPr>
        <w:t>调节养殖水体水质、底质理化指标，调节浮游生物、微生物和水生植物生长，改善养殖动物生长环境的一种或几种无机或有机化学物质的混合物及其制剂。</w:t>
      </w:r>
    </w:p>
    <w:p w14:paraId="615E31AF">
      <w:pPr>
        <w:pStyle w:val="224"/>
        <w:keepNext w:val="0"/>
        <w:keepLines w:val="0"/>
        <w:pageBreakBefore w:val="0"/>
        <w:widowControl/>
        <w:kinsoku/>
        <w:wordWrap/>
        <w:overflowPunct/>
        <w:topLinePunct w:val="0"/>
        <w:bidi w:val="0"/>
        <w:adjustRightInd/>
        <w:snapToGrid/>
        <w:spacing w:line="276" w:lineRule="auto"/>
        <w:ind w:left="420" w:hanging="420" w:hangingChars="200"/>
        <w:textAlignment w:val="auto"/>
        <w:rPr>
          <w:rFonts w:hint="default" w:ascii="Times New Roman" w:hAnsi="Times New Roman" w:eastAsia="黑体" w:cs="Times New Roman"/>
          <w:spacing w:val="0"/>
          <w:w w:val="100"/>
        </w:rPr>
      </w:pPr>
      <w:r>
        <w:rPr>
          <w:rFonts w:ascii="黑体" w:hAnsi="黑体" w:eastAsia="黑体"/>
          <w:spacing w:val="0"/>
          <w:w w:val="100"/>
        </w:rPr>
        <w:br w:type="textWrapping"/>
      </w:r>
      <w:r>
        <w:rPr>
          <w:rFonts w:hint="default" w:ascii="Times New Roman" w:hAnsi="Times New Roman" w:eastAsia="黑体" w:cs="Times New Roman"/>
          <w:spacing w:val="0"/>
          <w:w w:val="100"/>
        </w:rPr>
        <w:t>急性毒性 acute toxicity</w:t>
      </w:r>
    </w:p>
    <w:p w14:paraId="27212A0E">
      <w:pPr>
        <w:pStyle w:val="57"/>
        <w:keepNext w:val="0"/>
        <w:keepLines w:val="0"/>
        <w:pageBreakBefore w:val="0"/>
        <w:widowControl/>
        <w:kinsoku/>
        <w:wordWrap/>
        <w:overflowPunct/>
        <w:topLinePunct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水产养殖动物一次或96</w:t>
      </w:r>
      <w:r>
        <w:rPr>
          <w:rFonts w:hint="eastAsia" w:ascii="Times New Roman" w:cs="Times New Roman"/>
          <w:spacing w:val="0"/>
          <w:w w:val="100"/>
          <w:lang w:val="en-US" w:eastAsia="zh-CN"/>
        </w:rPr>
        <w:t xml:space="preserve"> </w:t>
      </w:r>
      <w:r>
        <w:rPr>
          <w:rFonts w:hint="default" w:ascii="Times New Roman" w:hAnsi="Times New Roman" w:cs="Times New Roman"/>
          <w:spacing w:val="0"/>
          <w:w w:val="100"/>
        </w:rPr>
        <w:t>h内多次接触一定剂量的受试水产养殖调水用品（化学类）后一定时间内出现毒性反应的试验。</w:t>
      </w:r>
    </w:p>
    <w:p w14:paraId="14B9DF3D">
      <w:pPr>
        <w:pStyle w:val="224"/>
        <w:keepNext w:val="0"/>
        <w:keepLines w:val="0"/>
        <w:pageBreakBefore w:val="0"/>
        <w:widowControl/>
        <w:kinsoku/>
        <w:wordWrap/>
        <w:overflowPunct/>
        <w:topLinePunct w:val="0"/>
        <w:bidi w:val="0"/>
        <w:adjustRightInd/>
        <w:snapToGrid/>
        <w:spacing w:line="276" w:lineRule="auto"/>
        <w:ind w:left="420" w:hanging="420" w:hangingChars="200"/>
        <w:textAlignment w:val="auto"/>
        <w:rPr>
          <w:rFonts w:hint="default" w:ascii="Times New Roman" w:hAnsi="Times New Roman" w:eastAsia="黑体" w:cs="Times New Roman"/>
          <w:spacing w:val="0"/>
          <w:w w:val="100"/>
        </w:rPr>
      </w:pPr>
      <w:r>
        <w:rPr>
          <w:rFonts w:ascii="黑体" w:hAnsi="黑体" w:eastAsia="黑体"/>
          <w:spacing w:val="0"/>
          <w:w w:val="100"/>
        </w:rPr>
        <w:br w:type="textWrapping"/>
      </w:r>
      <w:r>
        <w:rPr>
          <w:rFonts w:hint="default" w:ascii="Times New Roman" w:hAnsi="Times New Roman" w:eastAsia="黑体" w:cs="Times New Roman"/>
          <w:spacing w:val="0"/>
          <w:w w:val="100"/>
        </w:rPr>
        <w:t>半数致死浓度（LC</w:t>
      </w:r>
      <w:r>
        <w:rPr>
          <w:rFonts w:hint="default" w:ascii="Times New Roman" w:hAnsi="Times New Roman" w:eastAsia="黑体" w:cs="Times New Roman"/>
          <w:spacing w:val="0"/>
          <w:w w:val="100"/>
          <w:vertAlign w:val="subscript"/>
        </w:rPr>
        <w:t>50</w:t>
      </w:r>
      <w:r>
        <w:rPr>
          <w:rFonts w:hint="default" w:ascii="Times New Roman" w:hAnsi="Times New Roman" w:eastAsia="黑体" w:cs="Times New Roman"/>
          <w:spacing w:val="0"/>
          <w:w w:val="100"/>
        </w:rPr>
        <w:t>）half lethal concentration</w:t>
      </w:r>
      <w:r>
        <w:rPr>
          <w:rFonts w:hint="eastAsia" w:ascii="Times New Roman" w:eastAsia="黑体" w:cs="Times New Roman"/>
          <w:spacing w:val="0"/>
          <w:w w:val="100"/>
          <w:lang w:eastAsia="zh-CN"/>
        </w:rPr>
        <w:t>（</w:t>
      </w:r>
      <w:r>
        <w:rPr>
          <w:rFonts w:hint="default" w:ascii="Times New Roman" w:hAnsi="Times New Roman" w:eastAsia="黑体" w:cs="Times New Roman"/>
          <w:spacing w:val="0"/>
          <w:w w:val="100"/>
        </w:rPr>
        <w:t>LC</w:t>
      </w:r>
      <w:r>
        <w:rPr>
          <w:rFonts w:hint="default" w:ascii="Times New Roman" w:hAnsi="Times New Roman" w:eastAsia="黑体" w:cs="Times New Roman"/>
          <w:spacing w:val="0"/>
          <w:w w:val="100"/>
          <w:vertAlign w:val="subscript"/>
        </w:rPr>
        <w:t>50</w:t>
      </w:r>
      <w:r>
        <w:rPr>
          <w:rFonts w:hint="eastAsia" w:ascii="Times New Roman" w:eastAsia="黑体" w:cs="Times New Roman"/>
          <w:spacing w:val="0"/>
          <w:w w:val="100"/>
          <w:lang w:eastAsia="zh-CN"/>
        </w:rPr>
        <w:t>）</w:t>
      </w:r>
    </w:p>
    <w:p w14:paraId="2BF920D9">
      <w:pPr>
        <w:pStyle w:val="57"/>
        <w:keepNext w:val="0"/>
        <w:keepLines w:val="0"/>
        <w:pageBreakBefore w:val="0"/>
        <w:widowControl/>
        <w:kinsoku/>
        <w:wordWrap/>
        <w:overflowPunct/>
        <w:topLinePunct w:val="0"/>
        <w:bidi w:val="0"/>
        <w:adjustRightInd/>
        <w:snapToGrid/>
        <w:spacing w:line="276" w:lineRule="auto"/>
        <w:ind w:firstLine="420"/>
        <w:textAlignment w:val="auto"/>
        <w:rPr>
          <w:spacing w:val="0"/>
          <w:w w:val="100"/>
        </w:rPr>
      </w:pPr>
      <w:r>
        <w:rPr>
          <w:rFonts w:hint="default" w:ascii="Times New Roman" w:hAnsi="Times New Roman" w:cs="Times New Roman"/>
          <w:spacing w:val="0"/>
          <w:w w:val="100"/>
        </w:rPr>
        <w:t>引起50%的受试水产养殖动物</w:t>
      </w:r>
      <w:r>
        <w:rPr>
          <w:rFonts w:hint="eastAsia"/>
          <w:spacing w:val="0"/>
          <w:w w:val="100"/>
        </w:rPr>
        <w:t>死亡的受试水产养殖调水用品（化学类）浓度，以</w:t>
      </w:r>
      <w:r>
        <w:rPr>
          <w:rFonts w:hint="default" w:ascii="Times New Roman" w:hAnsi="Times New Roman" w:cs="Times New Roman"/>
          <w:spacing w:val="0"/>
          <w:w w:val="100"/>
        </w:rPr>
        <w:t>LC</w:t>
      </w:r>
      <w:r>
        <w:rPr>
          <w:rFonts w:hint="default" w:ascii="Times New Roman" w:hAnsi="Times New Roman" w:cs="Times New Roman"/>
          <w:spacing w:val="0"/>
          <w:w w:val="100"/>
          <w:vertAlign w:val="subscript"/>
        </w:rPr>
        <w:t>50</w:t>
      </w:r>
      <w:r>
        <w:rPr>
          <w:rFonts w:hint="eastAsia"/>
          <w:spacing w:val="0"/>
          <w:w w:val="100"/>
        </w:rPr>
        <w:t>表示。</w:t>
      </w:r>
    </w:p>
    <w:p w14:paraId="7911B23A">
      <w:pPr>
        <w:pStyle w:val="224"/>
        <w:keepNext w:val="0"/>
        <w:keepLines w:val="0"/>
        <w:pageBreakBefore w:val="0"/>
        <w:widowControl/>
        <w:kinsoku/>
        <w:wordWrap/>
        <w:overflowPunct/>
        <w:topLinePunct w:val="0"/>
        <w:bidi w:val="0"/>
        <w:adjustRightInd/>
        <w:snapToGrid/>
        <w:spacing w:line="276" w:lineRule="auto"/>
        <w:ind w:left="420" w:hanging="420" w:hangingChars="200"/>
        <w:textAlignment w:val="auto"/>
        <w:rPr>
          <w:rFonts w:hint="default" w:ascii="Times New Roman" w:hAnsi="Times New Roman" w:eastAsia="黑体" w:cs="Times New Roman"/>
          <w:spacing w:val="0"/>
          <w:w w:val="100"/>
        </w:rPr>
      </w:pPr>
      <w:r>
        <w:rPr>
          <w:rFonts w:ascii="黑体" w:hAnsi="黑体" w:eastAsia="黑体"/>
          <w:spacing w:val="0"/>
          <w:w w:val="100"/>
        </w:rPr>
        <w:br w:type="textWrapping"/>
      </w:r>
      <w:r>
        <w:rPr>
          <w:rFonts w:hint="default" w:ascii="Times New Roman" w:hAnsi="Times New Roman" w:eastAsia="黑体" w:cs="Times New Roman"/>
          <w:spacing w:val="0"/>
          <w:w w:val="100"/>
        </w:rPr>
        <w:t>致死浓度（ILL）lethal concentration</w:t>
      </w:r>
      <w:r>
        <w:rPr>
          <w:rFonts w:hint="eastAsia" w:ascii="Times New Roman" w:eastAsia="黑体" w:cs="Times New Roman"/>
          <w:spacing w:val="0"/>
          <w:w w:val="100"/>
          <w:lang w:eastAsia="zh-CN"/>
        </w:rPr>
        <w:t>（</w:t>
      </w:r>
      <w:r>
        <w:rPr>
          <w:rFonts w:hint="default" w:ascii="Times New Roman" w:hAnsi="Times New Roman" w:eastAsia="黑体" w:cs="Times New Roman"/>
          <w:spacing w:val="0"/>
          <w:w w:val="100"/>
        </w:rPr>
        <w:t>ILL</w:t>
      </w:r>
      <w:r>
        <w:rPr>
          <w:rFonts w:hint="eastAsia" w:ascii="Times New Roman" w:eastAsia="黑体" w:cs="Times New Roman"/>
          <w:spacing w:val="0"/>
          <w:w w:val="100"/>
          <w:lang w:eastAsia="zh-CN"/>
        </w:rPr>
        <w:t>）</w:t>
      </w:r>
    </w:p>
    <w:p w14:paraId="218E1E44">
      <w:pPr>
        <w:pStyle w:val="57"/>
        <w:keepNext w:val="0"/>
        <w:keepLines w:val="0"/>
        <w:pageBreakBefore w:val="0"/>
        <w:widowControl/>
        <w:kinsoku/>
        <w:wordWrap/>
        <w:overflowPunct/>
        <w:topLinePunct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引起一组水产养殖动物中全部</w:t>
      </w:r>
      <w:r>
        <w:rPr>
          <w:rFonts w:hint="default" w:ascii="Times New Roman" w:hAnsi="Times New Roman" w:cs="Times New Roman"/>
          <w:spacing w:val="0"/>
          <w:w w:val="100"/>
          <w:lang w:eastAsia="zh-CN"/>
        </w:rPr>
        <w:t>（</w:t>
      </w:r>
      <w:r>
        <w:rPr>
          <w:rFonts w:hint="default" w:ascii="Times New Roman" w:hAnsi="Times New Roman" w:cs="Times New Roman"/>
          <w:spacing w:val="0"/>
          <w:w w:val="100"/>
        </w:rPr>
        <w:t>100%</w:t>
      </w:r>
      <w:r>
        <w:rPr>
          <w:rFonts w:hint="default" w:ascii="Times New Roman" w:hAnsi="Times New Roman" w:cs="Times New Roman"/>
          <w:spacing w:val="0"/>
          <w:w w:val="100"/>
          <w:lang w:eastAsia="zh-CN"/>
        </w:rPr>
        <w:t>）</w:t>
      </w:r>
      <w:r>
        <w:rPr>
          <w:rFonts w:hint="default" w:ascii="Times New Roman" w:hAnsi="Times New Roman" w:cs="Times New Roman"/>
          <w:spacing w:val="0"/>
          <w:w w:val="100"/>
        </w:rPr>
        <w:t>死亡的受试水产养殖调水用品（化学类）最低浓度。</w:t>
      </w:r>
    </w:p>
    <w:p w14:paraId="5D79F539">
      <w:pPr>
        <w:pStyle w:val="224"/>
        <w:keepNext w:val="0"/>
        <w:keepLines w:val="0"/>
        <w:pageBreakBefore w:val="0"/>
        <w:widowControl/>
        <w:kinsoku/>
        <w:wordWrap/>
        <w:overflowPunct/>
        <w:topLinePunct w:val="0"/>
        <w:bidi w:val="0"/>
        <w:adjustRightInd/>
        <w:snapToGrid/>
        <w:spacing w:line="276" w:lineRule="auto"/>
        <w:ind w:left="420" w:hanging="420" w:hangingChars="200"/>
        <w:textAlignment w:val="auto"/>
        <w:rPr>
          <w:rFonts w:hint="default" w:ascii="Times New Roman" w:hAnsi="Times New Roman" w:eastAsia="黑体" w:cs="Times New Roman"/>
          <w:spacing w:val="0"/>
          <w:w w:val="100"/>
        </w:rPr>
      </w:pPr>
      <w:r>
        <w:rPr>
          <w:rFonts w:ascii="黑体" w:hAnsi="黑体" w:eastAsia="黑体"/>
          <w:spacing w:val="0"/>
          <w:w w:val="100"/>
        </w:rPr>
        <w:br w:type="textWrapping"/>
      </w:r>
      <w:r>
        <w:rPr>
          <w:rFonts w:hint="default" w:ascii="Times New Roman" w:hAnsi="Times New Roman" w:eastAsia="黑体" w:cs="Times New Roman"/>
          <w:spacing w:val="0"/>
          <w:w w:val="100"/>
        </w:rPr>
        <w:t>安全浓度 safe concentration</w:t>
      </w:r>
    </w:p>
    <w:p w14:paraId="6C6B8400">
      <w:pPr>
        <w:pStyle w:val="57"/>
        <w:keepNext w:val="0"/>
        <w:keepLines w:val="0"/>
        <w:pageBreakBefore w:val="0"/>
        <w:widowControl/>
        <w:kinsoku/>
        <w:wordWrap/>
        <w:overflowPunct/>
        <w:topLinePunct w:val="0"/>
        <w:bidi w:val="0"/>
        <w:adjustRightInd/>
        <w:snapToGrid/>
        <w:spacing w:line="276" w:lineRule="auto"/>
        <w:ind w:firstLine="420"/>
        <w:textAlignment w:val="auto"/>
        <w:rPr>
          <w:spacing w:val="0"/>
          <w:w w:val="100"/>
        </w:rPr>
      </w:pPr>
      <w:r>
        <w:rPr>
          <w:rFonts w:hint="eastAsia"/>
          <w:spacing w:val="0"/>
          <w:w w:val="100"/>
        </w:rPr>
        <w:t>引起一组水产养殖动物中个体死亡同空白对照组比较无统计学差异的受试水产养殖调水用品（化学类）最高浓度。</w:t>
      </w:r>
    </w:p>
    <w:p w14:paraId="79EB0A18">
      <w:pPr>
        <w:pStyle w:val="224"/>
        <w:keepNext w:val="0"/>
        <w:keepLines w:val="0"/>
        <w:pageBreakBefore w:val="0"/>
        <w:widowControl/>
        <w:kinsoku/>
        <w:wordWrap/>
        <w:overflowPunct/>
        <w:topLinePunct w:val="0"/>
        <w:bidi w:val="0"/>
        <w:adjustRightInd/>
        <w:snapToGrid/>
        <w:spacing w:line="276" w:lineRule="auto"/>
        <w:ind w:left="420" w:hanging="420" w:hangingChars="200"/>
        <w:textAlignment w:val="auto"/>
        <w:rPr>
          <w:rFonts w:ascii="黑体" w:hAnsi="黑体" w:eastAsia="黑体"/>
          <w:spacing w:val="0"/>
          <w:w w:val="100"/>
        </w:rPr>
      </w:pPr>
      <w:r>
        <w:rPr>
          <w:rFonts w:ascii="黑体" w:hAnsi="黑体" w:eastAsia="黑体"/>
          <w:spacing w:val="0"/>
          <w:w w:val="100"/>
        </w:rPr>
        <w:br w:type="textWrapping"/>
      </w:r>
      <w:r>
        <w:rPr>
          <w:rFonts w:hint="default" w:ascii="Times New Roman" w:hAnsi="Times New Roman" w:eastAsia="黑体" w:cs="Times New Roman"/>
          <w:spacing w:val="0"/>
          <w:w w:val="100"/>
        </w:rPr>
        <w:t>耐受浓度 maximum tolerated concentration</w:t>
      </w:r>
    </w:p>
    <w:p w14:paraId="10E05B3A">
      <w:pPr>
        <w:pStyle w:val="232"/>
        <w:keepNext w:val="0"/>
        <w:keepLines w:val="0"/>
        <w:pageBreakBefore w:val="0"/>
        <w:widowControl/>
        <w:tabs>
          <w:tab w:val="center" w:pos="4201"/>
          <w:tab w:val="right" w:leader="dot" w:pos="9298"/>
        </w:tabs>
        <w:kinsoku/>
        <w:wordWrap/>
        <w:overflowPunct/>
        <w:topLinePunct w:val="0"/>
        <w:bidi w:val="0"/>
        <w:adjustRightInd/>
        <w:snapToGrid/>
        <w:spacing w:line="276" w:lineRule="auto"/>
        <w:textAlignment w:val="auto"/>
        <w:rPr>
          <w:spacing w:val="0"/>
          <w:w w:val="100"/>
        </w:rPr>
      </w:pPr>
      <w:r>
        <w:rPr>
          <w:rFonts w:hint="eastAsia"/>
          <w:spacing w:val="0"/>
          <w:w w:val="100"/>
        </w:rPr>
        <w:t>在一定条件下，水产养殖动物能够持续存活于某种水产养殖调水用品（化学类）使用后的水体而不产生显著不良影响的最高浓度。</w:t>
      </w:r>
    </w:p>
    <w:p w14:paraId="6A5D82E4">
      <w:pPr>
        <w:pStyle w:val="232"/>
        <w:tabs>
          <w:tab w:val="center" w:pos="4201"/>
          <w:tab w:val="right" w:leader="dot" w:pos="9298"/>
        </w:tabs>
        <w:ind w:firstLine="0" w:firstLineChars="0"/>
        <w:rPr>
          <w:rFonts w:ascii="黑体" w:hAnsi="黑体" w:eastAsia="黑体" w:cs="Times New Roman"/>
          <w:spacing w:val="0"/>
          <w:w w:val="100"/>
        </w:rPr>
      </w:pPr>
      <w:r>
        <w:rPr>
          <w:rFonts w:hint="eastAsia" w:ascii="黑体" w:hAnsi="黑体" w:eastAsia="黑体" w:cs="Times New Roman"/>
          <w:spacing w:val="0"/>
          <w:w w:val="100"/>
        </w:rPr>
        <w:t>3.8</w:t>
      </w:r>
    </w:p>
    <w:p w14:paraId="500AAA28">
      <w:pPr>
        <w:pStyle w:val="23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76" w:lineRule="auto"/>
        <w:textAlignment w:val="auto"/>
        <w:rPr>
          <w:rFonts w:hint="default" w:ascii="Times New Roman" w:hAnsi="Times New Roman" w:eastAsia="黑体" w:cs="Times New Roman"/>
          <w:spacing w:val="0"/>
          <w:w w:val="100"/>
        </w:rPr>
      </w:pPr>
      <w:r>
        <w:rPr>
          <w:rFonts w:hint="default" w:ascii="Times New Roman" w:hAnsi="Times New Roman" w:eastAsia="黑体" w:cs="Times New Roman"/>
          <w:spacing w:val="0"/>
          <w:w w:val="100"/>
        </w:rPr>
        <w:t>半数有效浓度 median effective concentration（EC</w:t>
      </w:r>
      <w:r>
        <w:rPr>
          <w:rFonts w:hint="default" w:ascii="Times New Roman" w:hAnsi="Times New Roman" w:eastAsia="黑体" w:cs="Times New Roman"/>
          <w:spacing w:val="0"/>
          <w:w w:val="100"/>
          <w:vertAlign w:val="subscript"/>
        </w:rPr>
        <w:t>50</w:t>
      </w:r>
      <w:r>
        <w:rPr>
          <w:rFonts w:hint="default" w:ascii="Times New Roman" w:hAnsi="Times New Roman" w:eastAsia="黑体" w:cs="Times New Roman"/>
          <w:spacing w:val="0"/>
          <w:w w:val="100"/>
        </w:rPr>
        <w:t>）</w:t>
      </w:r>
    </w:p>
    <w:p w14:paraId="4BD3BBE9">
      <w:pPr>
        <w:pStyle w:val="23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76" w:lineRule="auto"/>
        <w:textAlignment w:val="auto"/>
        <w:rPr>
          <w:rFonts w:hint="default" w:ascii="Times New Roman" w:hAnsi="Times New Roman" w:cs="Times New Roman"/>
          <w:spacing w:val="0"/>
          <w:w w:val="100"/>
        </w:rPr>
      </w:pPr>
      <w:r>
        <w:rPr>
          <w:rFonts w:hint="default" w:ascii="Times New Roman" w:hAnsi="Times New Roman" w:cs="Times New Roman"/>
          <w:spacing w:val="0"/>
          <w:w w:val="100"/>
        </w:rPr>
        <w:t>在24</w:t>
      </w:r>
      <w:r>
        <w:rPr>
          <w:rFonts w:hint="eastAsia" w:ascii="Times New Roman" w:hAnsi="Times New Roman" w:cs="Times New Roman"/>
          <w:spacing w:val="0"/>
          <w:w w:val="100"/>
          <w:lang w:val="en-US" w:eastAsia="zh-CN"/>
        </w:rPr>
        <w:t xml:space="preserve"> </w:t>
      </w:r>
      <w:r>
        <w:rPr>
          <w:rFonts w:hint="default" w:ascii="Times New Roman" w:hAnsi="Times New Roman" w:cs="Times New Roman"/>
          <w:spacing w:val="0"/>
          <w:w w:val="100"/>
        </w:rPr>
        <w:t>h或48</w:t>
      </w:r>
      <w:r>
        <w:rPr>
          <w:rFonts w:hint="eastAsia" w:ascii="Times New Roman" w:hAnsi="Times New Roman" w:cs="Times New Roman"/>
          <w:spacing w:val="0"/>
          <w:w w:val="100"/>
          <w:lang w:val="en-US" w:eastAsia="zh-CN"/>
        </w:rPr>
        <w:t xml:space="preserve"> </w:t>
      </w:r>
      <w:r>
        <w:rPr>
          <w:rFonts w:hint="default" w:ascii="Times New Roman" w:hAnsi="Times New Roman" w:cs="Times New Roman"/>
          <w:spacing w:val="0"/>
          <w:w w:val="100"/>
        </w:rPr>
        <w:t>h内50%暴露在实验液中大型溞活动受抑制</w:t>
      </w:r>
      <w:r>
        <w:rPr>
          <w:rFonts w:hint="default" w:ascii="Times New Roman" w:hAnsi="Times New Roman" w:cs="Times New Roman"/>
          <w:spacing w:val="0"/>
          <w:w w:val="100"/>
          <w:lang w:eastAsia="zh-CN"/>
        </w:rPr>
        <w:t>（</w:t>
      </w:r>
      <w:r>
        <w:rPr>
          <w:rFonts w:hint="default" w:ascii="Times New Roman" w:hAnsi="Times New Roman" w:cs="Times New Roman"/>
          <w:spacing w:val="0"/>
          <w:w w:val="100"/>
        </w:rPr>
        <w:t>包括死亡</w:t>
      </w:r>
      <w:r>
        <w:rPr>
          <w:rFonts w:hint="default" w:ascii="Times New Roman" w:hAnsi="Times New Roman" w:cs="Times New Roman"/>
          <w:spacing w:val="0"/>
          <w:w w:val="100"/>
          <w:lang w:eastAsia="zh-CN"/>
        </w:rPr>
        <w:t>）</w:t>
      </w:r>
      <w:r>
        <w:rPr>
          <w:rFonts w:hint="default" w:ascii="Times New Roman" w:hAnsi="Times New Roman" w:cs="Times New Roman"/>
          <w:spacing w:val="0"/>
          <w:w w:val="100"/>
        </w:rPr>
        <w:t>的浓度。</w:t>
      </w:r>
    </w:p>
    <w:p w14:paraId="0696F470">
      <w:pPr>
        <w:pStyle w:val="105"/>
        <w:spacing w:before="240" w:after="240"/>
        <w:rPr>
          <w:rFonts w:hint="default"/>
          <w:color w:val="auto"/>
          <w:spacing w:val="0"/>
          <w:w w:val="100"/>
          <w:highlight w:val="none"/>
        </w:rPr>
      </w:pPr>
      <w:bookmarkStart w:id="42" w:name="_Hlk178005138"/>
      <w:r>
        <w:rPr>
          <w:rFonts w:hint="eastAsia"/>
          <w:color w:val="auto"/>
          <w:spacing w:val="0"/>
          <w:w w:val="100"/>
          <w:highlight w:val="none"/>
        </w:rPr>
        <w:t>水产养殖调水用品（化学类）的要</w:t>
      </w:r>
      <w:bookmarkEnd w:id="42"/>
      <w:r>
        <w:rPr>
          <w:rFonts w:hint="eastAsia"/>
          <w:color w:val="auto"/>
          <w:spacing w:val="0"/>
          <w:w w:val="100"/>
          <w:highlight w:val="none"/>
        </w:rPr>
        <w:t>求</w:t>
      </w:r>
    </w:p>
    <w:p w14:paraId="2565083F">
      <w:pPr>
        <w:pStyle w:val="106"/>
        <w:keepNext w:val="0"/>
        <w:keepLines w:val="0"/>
        <w:pageBreakBefore w:val="0"/>
        <w:widowControl/>
        <w:kinsoku/>
        <w:wordWrap/>
        <w:overflowPunct/>
        <w:topLinePunct w:val="0"/>
        <w:autoSpaceDE/>
        <w:autoSpaceDN/>
        <w:bidi w:val="0"/>
        <w:adjustRightInd/>
        <w:snapToGrid/>
        <w:spacing w:before="0" w:beforeLines="0" w:after="0" w:afterLines="0" w:line="276" w:lineRule="auto"/>
        <w:textAlignment w:val="auto"/>
        <w:rPr>
          <w:spacing w:val="0"/>
          <w:w w:val="100"/>
        </w:rPr>
      </w:pPr>
      <w:r>
        <w:rPr>
          <w:rFonts w:hint="eastAsia" w:ascii="宋体" w:eastAsia="宋体"/>
          <w:spacing w:val="0"/>
          <w:w w:val="100"/>
        </w:rPr>
        <w:t>经专业机构检测，符合产品规定质量标准和调水用品通用质量标准。</w:t>
      </w:r>
    </w:p>
    <w:p w14:paraId="251A2338">
      <w:pPr>
        <w:pStyle w:val="163"/>
        <w:keepNext w:val="0"/>
        <w:keepLines w:val="0"/>
        <w:pageBreakBefore w:val="0"/>
        <w:widowControl/>
        <w:kinsoku/>
        <w:wordWrap/>
        <w:overflowPunct/>
        <w:topLinePunct w:val="0"/>
        <w:autoSpaceDE/>
        <w:autoSpaceDN/>
        <w:bidi w:val="0"/>
        <w:adjustRightInd/>
        <w:snapToGrid/>
        <w:spacing w:before="0" w:beforeLines="0" w:after="0" w:afterLines="0" w:line="276" w:lineRule="auto"/>
        <w:textAlignment w:val="auto"/>
        <w:rPr>
          <w:spacing w:val="0"/>
          <w:w w:val="100"/>
        </w:rPr>
      </w:pPr>
      <w:r>
        <w:rPr>
          <w:rFonts w:hint="eastAsia"/>
          <w:spacing w:val="0"/>
          <w:w w:val="100"/>
        </w:rPr>
        <w:t>添加辅料的样品，应提供辅料的配方及其物理、化学性质等资料。</w:t>
      </w:r>
    </w:p>
    <w:p w14:paraId="4314AD7F">
      <w:pPr>
        <w:pStyle w:val="105"/>
        <w:spacing w:before="240" w:after="240"/>
        <w:rPr>
          <w:spacing w:val="0"/>
          <w:w w:val="100"/>
        </w:rPr>
      </w:pPr>
      <w:r>
        <w:rPr>
          <w:rFonts w:hint="eastAsia"/>
          <w:spacing w:val="0"/>
          <w:w w:val="100"/>
        </w:rPr>
        <w:t>评价内容与方法</w:t>
      </w:r>
    </w:p>
    <w:p w14:paraId="1F966177">
      <w:pPr>
        <w:pStyle w:val="166"/>
        <w:keepNext w:val="0"/>
        <w:keepLines w:val="0"/>
        <w:pageBreakBefore w:val="0"/>
        <w:widowControl w:val="0"/>
        <w:kinsoku/>
        <w:wordWrap/>
        <w:overflowPunct/>
        <w:topLinePunct w:val="0"/>
        <w:autoSpaceDE/>
        <w:autoSpaceDN/>
        <w:bidi w:val="0"/>
        <w:adjustRightInd/>
        <w:snapToGrid/>
        <w:spacing w:line="276" w:lineRule="auto"/>
        <w:textAlignment w:val="auto"/>
        <w:rPr>
          <w:spacing w:val="0"/>
          <w:w w:val="100"/>
        </w:rPr>
      </w:pPr>
      <w:r>
        <w:rPr>
          <w:rFonts w:hint="eastAsia"/>
          <w:spacing w:val="0"/>
          <w:w w:val="100"/>
        </w:rPr>
        <w:t>安全性评价实验动物：用具有代表性的水产养殖动物为实验动物。</w:t>
      </w:r>
    </w:p>
    <w:p w14:paraId="5F6F970A">
      <w:pPr>
        <w:pStyle w:val="166"/>
        <w:keepNext w:val="0"/>
        <w:keepLines w:val="0"/>
        <w:pageBreakBefore w:val="0"/>
        <w:widowControl w:val="0"/>
        <w:kinsoku/>
        <w:wordWrap/>
        <w:overflowPunct/>
        <w:topLinePunct w:val="0"/>
        <w:autoSpaceDE/>
        <w:autoSpaceDN/>
        <w:bidi w:val="0"/>
        <w:adjustRightInd/>
        <w:snapToGrid/>
        <w:spacing w:line="276" w:lineRule="auto"/>
        <w:textAlignment w:val="auto"/>
        <w:rPr>
          <w:spacing w:val="0"/>
          <w:w w:val="100"/>
        </w:rPr>
      </w:pPr>
      <w:r>
        <w:rPr>
          <w:rFonts w:hint="eastAsia"/>
          <w:spacing w:val="0"/>
          <w:w w:val="100"/>
        </w:rPr>
        <w:t>水产养殖调水用品（化学类）对水产养殖动物的安全性评价，具体见表1。</w:t>
      </w:r>
    </w:p>
    <w:p w14:paraId="7ABE9656">
      <w:pPr>
        <w:pStyle w:val="166"/>
        <w:keepNext w:val="0"/>
        <w:keepLines w:val="0"/>
        <w:pageBreakBefore w:val="0"/>
        <w:widowControl w:val="0"/>
        <w:kinsoku/>
        <w:wordWrap/>
        <w:overflowPunct/>
        <w:topLinePunct w:val="0"/>
        <w:autoSpaceDE/>
        <w:autoSpaceDN/>
        <w:bidi w:val="0"/>
        <w:adjustRightInd/>
        <w:snapToGrid/>
        <w:spacing w:line="276" w:lineRule="auto"/>
        <w:textAlignment w:val="auto"/>
        <w:rPr>
          <w:spacing w:val="0"/>
          <w:w w:val="100"/>
        </w:rPr>
      </w:pPr>
      <w:r>
        <w:rPr>
          <w:rFonts w:hint="eastAsia"/>
          <w:spacing w:val="0"/>
          <w:w w:val="100"/>
        </w:rPr>
        <w:t>水产养殖调水用品（化学类）对养殖环境安全性的评价，具体见表1。</w:t>
      </w:r>
    </w:p>
    <w:p w14:paraId="771F6A68">
      <w:pPr>
        <w:pStyle w:val="166"/>
        <w:numPr>
          <w:ilvl w:val="3"/>
          <w:numId w:val="0"/>
        </w:numPr>
        <w:ind w:leftChars="0"/>
        <w:rPr>
          <w:spacing w:val="0"/>
          <w:w w:val="100"/>
        </w:rPr>
      </w:pPr>
    </w:p>
    <w:p w14:paraId="05C026A5">
      <w:pPr>
        <w:pStyle w:val="57"/>
        <w:ind w:firstLine="420"/>
        <w:jc w:val="center"/>
        <w:rPr>
          <w:spacing w:val="0"/>
          <w:w w:val="100"/>
        </w:rPr>
      </w:pPr>
      <w:r>
        <w:rPr>
          <w:rFonts w:hint="eastAsia"/>
          <w:spacing w:val="0"/>
          <w:w w:val="100"/>
        </w:rPr>
        <w:t xml:space="preserve">表1 </w:t>
      </w:r>
      <w:r>
        <w:rPr>
          <w:spacing w:val="0"/>
          <w:w w:val="100"/>
        </w:rPr>
        <w:t>评测项目与评价方法</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36"/>
        <w:gridCol w:w="2585"/>
        <w:gridCol w:w="3234"/>
      </w:tblGrid>
      <w:tr w14:paraId="028E6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2736" w:type="dxa"/>
            <w:tcBorders>
              <w:top w:val="single" w:color="auto" w:sz="8" w:space="0"/>
              <w:bottom w:val="single" w:color="auto" w:sz="8" w:space="0"/>
            </w:tcBorders>
            <w:shd w:val="clear" w:color="auto" w:fill="auto"/>
            <w:vAlign w:val="center"/>
          </w:tcPr>
          <w:p w14:paraId="44E57289">
            <w:pPr>
              <w:pStyle w:val="57"/>
              <w:ind w:firstLine="420"/>
              <w:rPr>
                <w:spacing w:val="0"/>
                <w:w w:val="100"/>
              </w:rPr>
            </w:pPr>
            <w:r>
              <w:rPr>
                <w:rFonts w:hint="eastAsia"/>
                <w:spacing w:val="0"/>
                <w:w w:val="100"/>
              </w:rPr>
              <w:t>评价内容</w:t>
            </w:r>
          </w:p>
        </w:tc>
        <w:tc>
          <w:tcPr>
            <w:tcW w:w="2585" w:type="dxa"/>
            <w:tcBorders>
              <w:top w:val="single" w:color="auto" w:sz="8" w:space="0"/>
              <w:bottom w:val="single" w:color="auto" w:sz="8" w:space="0"/>
            </w:tcBorders>
            <w:shd w:val="clear" w:color="auto" w:fill="auto"/>
            <w:vAlign w:val="center"/>
          </w:tcPr>
          <w:p w14:paraId="3E904618">
            <w:pPr>
              <w:pStyle w:val="57"/>
              <w:ind w:firstLine="420"/>
              <w:rPr>
                <w:spacing w:val="0"/>
                <w:w w:val="100"/>
              </w:rPr>
            </w:pPr>
            <w:r>
              <w:rPr>
                <w:rFonts w:hint="eastAsia"/>
                <w:spacing w:val="0"/>
                <w:w w:val="100"/>
              </w:rPr>
              <w:t>评价项目</w:t>
            </w:r>
          </w:p>
        </w:tc>
        <w:tc>
          <w:tcPr>
            <w:tcW w:w="3234" w:type="dxa"/>
            <w:tcBorders>
              <w:top w:val="single" w:color="auto" w:sz="8" w:space="0"/>
              <w:bottom w:val="single" w:color="auto" w:sz="8" w:space="0"/>
            </w:tcBorders>
            <w:shd w:val="clear" w:color="auto" w:fill="auto"/>
            <w:vAlign w:val="center"/>
          </w:tcPr>
          <w:p w14:paraId="4F17CCDA">
            <w:pPr>
              <w:pStyle w:val="57"/>
              <w:ind w:firstLine="420"/>
              <w:rPr>
                <w:spacing w:val="0"/>
                <w:w w:val="100"/>
              </w:rPr>
            </w:pPr>
            <w:r>
              <w:rPr>
                <w:rFonts w:hint="eastAsia"/>
                <w:spacing w:val="0"/>
                <w:w w:val="100"/>
              </w:rPr>
              <w:t>评价方法</w:t>
            </w:r>
          </w:p>
        </w:tc>
      </w:tr>
      <w:tr w14:paraId="6EBC0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2736" w:type="dxa"/>
            <w:tcBorders>
              <w:top w:val="single" w:color="auto" w:sz="8" w:space="0"/>
            </w:tcBorders>
            <w:shd w:val="clear" w:color="auto" w:fill="auto"/>
            <w:vAlign w:val="center"/>
          </w:tcPr>
          <w:p w14:paraId="7C698C9C">
            <w:pPr>
              <w:pStyle w:val="57"/>
              <w:ind w:firstLine="0" w:firstLineChars="0"/>
              <w:rPr>
                <w:spacing w:val="0"/>
                <w:w w:val="100"/>
              </w:rPr>
            </w:pPr>
            <w:r>
              <w:rPr>
                <w:rFonts w:hint="eastAsia"/>
                <w:spacing w:val="0"/>
                <w:w w:val="100"/>
              </w:rPr>
              <w:t>对养殖动物安全性的评价</w:t>
            </w:r>
          </w:p>
        </w:tc>
        <w:tc>
          <w:tcPr>
            <w:tcW w:w="2585" w:type="dxa"/>
            <w:tcBorders>
              <w:top w:val="single" w:color="auto" w:sz="8" w:space="0"/>
            </w:tcBorders>
            <w:shd w:val="clear" w:color="auto" w:fill="auto"/>
            <w:vAlign w:val="center"/>
          </w:tcPr>
          <w:p w14:paraId="40297D65">
            <w:pPr>
              <w:pStyle w:val="57"/>
              <w:ind w:firstLine="0" w:firstLineChars="0"/>
              <w:rPr>
                <w:rFonts w:hint="default" w:ascii="Times New Roman" w:hAnsi="Times New Roman" w:cs="Times New Roman"/>
                <w:spacing w:val="0"/>
                <w:w w:val="100"/>
              </w:rPr>
            </w:pPr>
            <w:r>
              <w:rPr>
                <w:rFonts w:hint="default" w:ascii="Times New Roman" w:hAnsi="Times New Roman" w:cs="Times New Roman"/>
                <w:spacing w:val="0"/>
                <w:w w:val="100"/>
              </w:rPr>
              <w:t>水产养殖动物的急性毒性试验、耐受性实验。</w:t>
            </w:r>
          </w:p>
        </w:tc>
        <w:tc>
          <w:tcPr>
            <w:tcW w:w="3234" w:type="dxa"/>
            <w:tcBorders>
              <w:top w:val="single" w:color="auto" w:sz="8" w:space="0"/>
            </w:tcBorders>
            <w:shd w:val="clear" w:color="auto" w:fill="auto"/>
            <w:vAlign w:val="center"/>
          </w:tcPr>
          <w:p w14:paraId="0C402895">
            <w:pPr>
              <w:pStyle w:val="57"/>
              <w:ind w:left="0" w:leftChars="0" w:firstLine="0" w:firstLineChars="0"/>
              <w:rPr>
                <w:rFonts w:hint="default" w:ascii="Times New Roman" w:hAnsi="Times New Roman" w:cs="Times New Roman"/>
                <w:spacing w:val="0"/>
                <w:w w:val="100"/>
              </w:rPr>
            </w:pPr>
            <w:r>
              <w:rPr>
                <w:rFonts w:hint="default" w:ascii="Times New Roman" w:hAnsi="Times New Roman" w:cs="Times New Roman"/>
                <w:spacing w:val="0"/>
                <w:w w:val="100"/>
              </w:rPr>
              <w:t>急性毒性试验按照附录A执行，耐受性实验按照附录B执行。</w:t>
            </w:r>
          </w:p>
        </w:tc>
      </w:tr>
      <w:tr w14:paraId="253BB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0" w:type="auto"/>
            <w:shd w:val="clear" w:color="auto" w:fill="auto"/>
            <w:vAlign w:val="center"/>
          </w:tcPr>
          <w:p w14:paraId="4A99FB99">
            <w:pPr>
              <w:pStyle w:val="57"/>
              <w:ind w:firstLine="0" w:firstLineChars="0"/>
              <w:rPr>
                <w:spacing w:val="0"/>
                <w:w w:val="100"/>
              </w:rPr>
            </w:pPr>
            <w:r>
              <w:rPr>
                <w:rFonts w:hint="eastAsia"/>
                <w:spacing w:val="0"/>
                <w:w w:val="100"/>
              </w:rPr>
              <w:t>养殖环境安全性的评价</w:t>
            </w:r>
          </w:p>
        </w:tc>
        <w:tc>
          <w:tcPr>
            <w:tcW w:w="2585" w:type="dxa"/>
            <w:shd w:val="clear" w:color="auto" w:fill="auto"/>
            <w:vAlign w:val="center"/>
          </w:tcPr>
          <w:p w14:paraId="52E5CE5D">
            <w:pPr>
              <w:pStyle w:val="57"/>
              <w:ind w:firstLine="0" w:firstLineChars="0"/>
              <w:rPr>
                <w:spacing w:val="0"/>
                <w:w w:val="100"/>
              </w:rPr>
            </w:pPr>
            <w:r>
              <w:rPr>
                <w:rFonts w:hint="eastAsia"/>
                <w:spacing w:val="0"/>
                <w:w w:val="100"/>
              </w:rPr>
              <w:t>大型溞的急性毒性试验</w:t>
            </w:r>
          </w:p>
        </w:tc>
        <w:tc>
          <w:tcPr>
            <w:tcW w:w="3234" w:type="dxa"/>
            <w:shd w:val="clear" w:color="auto" w:fill="auto"/>
            <w:vAlign w:val="center"/>
          </w:tcPr>
          <w:p w14:paraId="0E571821">
            <w:pPr>
              <w:pStyle w:val="57"/>
              <w:ind w:left="0" w:leftChars="0" w:firstLine="0" w:firstLineChars="0"/>
              <w:rPr>
                <w:spacing w:val="0"/>
                <w:w w:val="100"/>
              </w:rPr>
            </w:pPr>
            <w:r>
              <w:rPr>
                <w:rFonts w:hint="default" w:ascii="Times New Roman" w:hAnsi="Times New Roman" w:cs="Times New Roman"/>
                <w:spacing w:val="0"/>
                <w:w w:val="100"/>
              </w:rPr>
              <w:t>按照GB/T 16125的规定执行。按附录执行。</w:t>
            </w:r>
          </w:p>
        </w:tc>
      </w:tr>
    </w:tbl>
    <w:p w14:paraId="6A4BAA79">
      <w:pPr>
        <w:pStyle w:val="57"/>
        <w:ind w:firstLine="0" w:firstLineChars="0"/>
        <w:rPr>
          <w:spacing w:val="0"/>
          <w:w w:val="100"/>
        </w:rPr>
      </w:pPr>
    </w:p>
    <w:p w14:paraId="6B67127A">
      <w:pPr>
        <w:pStyle w:val="105"/>
        <w:spacing w:before="240" w:after="240"/>
        <w:rPr>
          <w:spacing w:val="0"/>
          <w:w w:val="100"/>
        </w:rPr>
      </w:pPr>
      <w:r>
        <w:rPr>
          <w:rFonts w:hint="eastAsia"/>
          <w:spacing w:val="0"/>
          <w:w w:val="100"/>
        </w:rPr>
        <w:t>评价程序</w:t>
      </w:r>
    </w:p>
    <w:p w14:paraId="5E2A503F">
      <w:pPr>
        <w:pStyle w:val="163"/>
        <w:keepNext w:val="0"/>
        <w:keepLines w:val="0"/>
        <w:pageBreakBefore w:val="0"/>
        <w:widowControl/>
        <w:kinsoku/>
        <w:wordWrap/>
        <w:overflowPunct/>
        <w:topLinePunct w:val="0"/>
        <w:autoSpaceDE/>
        <w:autoSpaceDN/>
        <w:bidi w:val="0"/>
        <w:adjustRightInd/>
        <w:snapToGrid/>
        <w:spacing w:line="276" w:lineRule="auto"/>
        <w:textAlignment w:val="auto"/>
        <w:rPr>
          <w:rFonts w:ascii="黑体" w:eastAsia="黑体"/>
          <w:spacing w:val="0"/>
          <w:w w:val="100"/>
        </w:rPr>
      </w:pPr>
      <w:r>
        <w:rPr>
          <w:rFonts w:hint="eastAsia"/>
          <w:spacing w:val="0"/>
          <w:w w:val="100"/>
        </w:rPr>
        <w:t>按水产养殖调水用品（化学类）的质量要求完成三批次样品制作，选择第三方或权威检测机构对产品检测，出具检测报告。</w:t>
      </w:r>
    </w:p>
    <w:p w14:paraId="43332290">
      <w:pPr>
        <w:pStyle w:val="163"/>
        <w:keepNext w:val="0"/>
        <w:keepLines w:val="0"/>
        <w:pageBreakBefore w:val="0"/>
        <w:widowControl/>
        <w:kinsoku/>
        <w:wordWrap/>
        <w:overflowPunct/>
        <w:topLinePunct w:val="0"/>
        <w:autoSpaceDE/>
        <w:autoSpaceDN/>
        <w:bidi w:val="0"/>
        <w:adjustRightInd/>
        <w:snapToGrid/>
        <w:spacing w:line="276" w:lineRule="auto"/>
        <w:textAlignment w:val="auto"/>
        <w:rPr>
          <w:spacing w:val="0"/>
          <w:w w:val="100"/>
        </w:rPr>
      </w:pPr>
      <w:r>
        <w:rPr>
          <w:rFonts w:hint="eastAsia"/>
          <w:spacing w:val="0"/>
          <w:w w:val="100"/>
        </w:rPr>
        <w:t>根据水产养殖调水用品（化学类）的特性，选择专业机构开展功能评价，制定安全性评价方案，选用相应的评价项目及方法，出具并提交产品安全性评价报告。</w:t>
      </w:r>
    </w:p>
    <w:p w14:paraId="6EE22A76">
      <w:pPr>
        <w:pStyle w:val="163"/>
        <w:keepNext w:val="0"/>
        <w:keepLines w:val="0"/>
        <w:pageBreakBefore w:val="0"/>
        <w:widowControl/>
        <w:kinsoku/>
        <w:wordWrap/>
        <w:overflowPunct/>
        <w:topLinePunct w:val="0"/>
        <w:autoSpaceDE/>
        <w:autoSpaceDN/>
        <w:bidi w:val="0"/>
        <w:adjustRightInd/>
        <w:snapToGrid/>
        <w:spacing w:line="276" w:lineRule="auto"/>
        <w:textAlignment w:val="auto"/>
        <w:rPr>
          <w:spacing w:val="0"/>
          <w:w w:val="100"/>
        </w:rPr>
      </w:pPr>
      <w:r>
        <w:rPr>
          <w:rFonts w:hint="eastAsia"/>
          <w:spacing w:val="0"/>
          <w:w w:val="100"/>
        </w:rPr>
        <w:t>生产单位将拟投产水产养殖调水用品（化学类）的安全性评价报告提交至水产养殖调水用品协作机制秘书处备案。</w:t>
      </w:r>
    </w:p>
    <w:p w14:paraId="12DD8EEC">
      <w:pPr>
        <w:pStyle w:val="105"/>
        <w:spacing w:before="240" w:after="240"/>
        <w:rPr>
          <w:spacing w:val="0"/>
          <w:w w:val="100"/>
        </w:rPr>
      </w:pPr>
      <w:r>
        <w:rPr>
          <w:rFonts w:hint="eastAsia"/>
          <w:spacing w:val="0"/>
          <w:w w:val="100"/>
        </w:rPr>
        <w:t>评价结果</w:t>
      </w:r>
    </w:p>
    <w:p w14:paraId="04BE5131">
      <w:pPr>
        <w:pStyle w:val="57"/>
        <w:keepNext w:val="0"/>
        <w:keepLines w:val="0"/>
        <w:pageBreakBefore w:val="0"/>
        <w:widowControl/>
        <w:kinsoku/>
        <w:wordWrap/>
        <w:overflowPunct/>
        <w:topLinePunct w:val="0"/>
        <w:autoSpaceDE w:val="0"/>
        <w:autoSpaceDN w:val="0"/>
        <w:bidi w:val="0"/>
        <w:adjustRightInd/>
        <w:snapToGrid/>
        <w:spacing w:line="276" w:lineRule="auto"/>
        <w:ind w:firstLine="0" w:firstLineChars="0"/>
        <w:textAlignment w:val="auto"/>
        <w:rPr>
          <w:rFonts w:ascii="黑体" w:eastAsia="黑体"/>
          <w:spacing w:val="0"/>
          <w:w w:val="100"/>
        </w:rPr>
      </w:pPr>
      <w:r>
        <w:rPr>
          <w:rFonts w:hint="eastAsia" w:ascii="黑体" w:eastAsia="黑体"/>
          <w:spacing w:val="0"/>
          <w:w w:val="100"/>
        </w:rPr>
        <w:t>7.1 对水产养殖动物的安全性评价结果</w:t>
      </w:r>
    </w:p>
    <w:p w14:paraId="154C78FD">
      <w:pPr>
        <w:pStyle w:val="57"/>
        <w:keepNext w:val="0"/>
        <w:keepLines w:val="0"/>
        <w:pageBreakBefore w:val="0"/>
        <w:widowControl/>
        <w:kinsoku/>
        <w:wordWrap/>
        <w:overflowPunct/>
        <w:topLinePunct w:val="0"/>
        <w:autoSpaceDE w:val="0"/>
        <w:autoSpaceDN w:val="0"/>
        <w:bidi w:val="0"/>
        <w:adjustRightInd/>
        <w:snapToGrid/>
        <w:spacing w:line="276" w:lineRule="auto"/>
        <w:ind w:firstLine="420" w:firstLineChars="200"/>
        <w:textAlignment w:val="auto"/>
        <w:rPr>
          <w:rFonts w:hint="default" w:ascii="Times New Roman" w:hAnsi="Times New Roman" w:cs="Times New Roman"/>
          <w:spacing w:val="0"/>
          <w:w w:val="100"/>
        </w:rPr>
      </w:pPr>
      <w:r>
        <w:rPr>
          <w:rFonts w:hint="default" w:ascii="Times New Roman" w:hAnsi="Times New Roman" w:cs="Times New Roman"/>
          <w:spacing w:val="0"/>
          <w:w w:val="100"/>
        </w:rPr>
        <w:t>依据水产养殖调水用品（化学类）对水产养殖动物急性毒性试验计算其对水产养殖动物的半数致死浓度（LC</w:t>
      </w:r>
      <w:r>
        <w:rPr>
          <w:rFonts w:hint="default" w:ascii="Times New Roman" w:hAnsi="Times New Roman" w:cs="Times New Roman"/>
          <w:spacing w:val="0"/>
          <w:w w:val="100"/>
          <w:vertAlign w:val="subscript"/>
        </w:rPr>
        <w:t>50</w:t>
      </w:r>
      <w:r>
        <w:rPr>
          <w:rFonts w:hint="default" w:ascii="Times New Roman" w:hAnsi="Times New Roman" w:cs="Times New Roman"/>
          <w:spacing w:val="0"/>
          <w:w w:val="100"/>
        </w:rPr>
        <w:t>）、致死浓度（ILL）、安全浓度、耐受浓度。</w:t>
      </w:r>
    </w:p>
    <w:p w14:paraId="1D8CEDD1">
      <w:pPr>
        <w:pStyle w:val="57"/>
        <w:keepNext w:val="0"/>
        <w:keepLines w:val="0"/>
        <w:pageBreakBefore w:val="0"/>
        <w:widowControl/>
        <w:kinsoku/>
        <w:wordWrap/>
        <w:overflowPunct/>
        <w:topLinePunct w:val="0"/>
        <w:autoSpaceDE w:val="0"/>
        <w:autoSpaceDN w:val="0"/>
        <w:bidi w:val="0"/>
        <w:adjustRightInd/>
        <w:snapToGrid/>
        <w:spacing w:line="276" w:lineRule="auto"/>
        <w:ind w:firstLine="0" w:firstLineChars="0"/>
        <w:textAlignment w:val="auto"/>
        <w:rPr>
          <w:rFonts w:ascii="黑体" w:eastAsia="黑体"/>
          <w:spacing w:val="0"/>
          <w:w w:val="100"/>
        </w:rPr>
      </w:pPr>
      <w:r>
        <w:rPr>
          <w:rFonts w:hint="eastAsia" w:ascii="黑体" w:eastAsia="黑体"/>
          <w:spacing w:val="0"/>
          <w:w w:val="100"/>
        </w:rPr>
        <w:t>7.2 对养殖环境的安全性评价结果</w:t>
      </w:r>
    </w:p>
    <w:p w14:paraId="7B4AB89F">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依据水产养殖调水用品（化学类）对大型溞的急性毒性试验计算其对大型溞的半数有效浓度（EC</w:t>
      </w:r>
      <w:r>
        <w:rPr>
          <w:rFonts w:hint="default" w:ascii="Times New Roman" w:hAnsi="Times New Roman" w:cs="Times New Roman"/>
          <w:spacing w:val="0"/>
          <w:w w:val="100"/>
          <w:vertAlign w:val="subscript"/>
        </w:rPr>
        <w:t>50</w:t>
      </w:r>
      <w:r>
        <w:rPr>
          <w:rFonts w:hint="default" w:ascii="Times New Roman" w:hAnsi="Times New Roman" w:cs="Times New Roman"/>
          <w:spacing w:val="0"/>
          <w:w w:val="100"/>
        </w:rPr>
        <w:t>）。</w:t>
      </w:r>
    </w:p>
    <w:p w14:paraId="6B2293D7">
      <w:pPr>
        <w:pStyle w:val="105"/>
        <w:spacing w:before="240" w:after="240"/>
        <w:rPr>
          <w:spacing w:val="0"/>
          <w:w w:val="100"/>
        </w:rPr>
      </w:pPr>
      <w:r>
        <w:rPr>
          <w:rFonts w:hint="eastAsia"/>
          <w:spacing w:val="0"/>
          <w:w w:val="100"/>
        </w:rPr>
        <w:t>报告和资料存档</w:t>
      </w:r>
    </w:p>
    <w:p w14:paraId="16623E65">
      <w:pPr>
        <w:pStyle w:val="57"/>
        <w:keepNext w:val="0"/>
        <w:keepLines w:val="0"/>
        <w:pageBreakBefore w:val="0"/>
        <w:widowControl/>
        <w:kinsoku/>
        <w:wordWrap/>
        <w:overflowPunct/>
        <w:topLinePunct w:val="0"/>
        <w:bidi w:val="0"/>
        <w:adjustRightInd/>
        <w:snapToGrid/>
        <w:spacing w:line="276" w:lineRule="auto"/>
        <w:ind w:firstLine="420"/>
        <w:textAlignment w:val="auto"/>
        <w:rPr>
          <w:spacing w:val="0"/>
          <w:w w:val="100"/>
        </w:rPr>
      </w:pPr>
      <w:r>
        <w:rPr>
          <w:rFonts w:hint="eastAsia"/>
          <w:spacing w:val="0"/>
          <w:w w:val="100"/>
        </w:rPr>
        <w:t>每个评价试验必须单独形成最终报告。每个试验最终报告中应包含试验概述和报告正文。</w:t>
      </w:r>
    </w:p>
    <w:p w14:paraId="6FB22025">
      <w:pPr>
        <w:pStyle w:val="163"/>
        <w:keepNext w:val="0"/>
        <w:keepLines w:val="0"/>
        <w:pageBreakBefore w:val="0"/>
        <w:widowControl/>
        <w:kinsoku/>
        <w:wordWrap/>
        <w:overflowPunct/>
        <w:topLinePunct w:val="0"/>
        <w:bidi w:val="0"/>
        <w:adjustRightInd/>
        <w:snapToGrid/>
        <w:spacing w:before="0" w:beforeLines="0" w:after="0" w:afterLines="0" w:line="276" w:lineRule="auto"/>
        <w:textAlignment w:val="auto"/>
        <w:rPr>
          <w:spacing w:val="0"/>
          <w:w w:val="100"/>
        </w:rPr>
      </w:pPr>
      <w:r>
        <w:rPr>
          <w:rFonts w:hint="eastAsia"/>
          <w:spacing w:val="0"/>
          <w:w w:val="100"/>
        </w:rPr>
        <w:t>在安全性评价实施过程中，数据记录应真实、准确、完整、规范、清晰，并妥善保管。</w:t>
      </w:r>
    </w:p>
    <w:p w14:paraId="602E3EC7">
      <w:pPr>
        <w:pStyle w:val="163"/>
        <w:keepNext w:val="0"/>
        <w:keepLines w:val="0"/>
        <w:pageBreakBefore w:val="0"/>
        <w:widowControl/>
        <w:kinsoku/>
        <w:wordWrap/>
        <w:overflowPunct/>
        <w:topLinePunct w:val="0"/>
        <w:bidi w:val="0"/>
        <w:adjustRightInd/>
        <w:snapToGrid/>
        <w:spacing w:before="0" w:beforeLines="0" w:after="0" w:afterLines="0" w:line="276" w:lineRule="auto"/>
        <w:textAlignment w:val="auto"/>
        <w:rPr>
          <w:spacing w:val="0"/>
          <w:w w:val="100"/>
        </w:rPr>
      </w:pPr>
      <w:r>
        <w:rPr>
          <w:rFonts w:hint="eastAsia"/>
          <w:spacing w:val="0"/>
          <w:w w:val="100"/>
        </w:rPr>
        <w:t>数据的有效位数以所用仪器的精度为准，采用国家法定计量单位和国家推荐使用的单位。</w:t>
      </w:r>
    </w:p>
    <w:p w14:paraId="5BA53B0B">
      <w:pPr>
        <w:pStyle w:val="163"/>
        <w:keepNext w:val="0"/>
        <w:keepLines w:val="0"/>
        <w:pageBreakBefore w:val="0"/>
        <w:widowControl/>
        <w:kinsoku/>
        <w:wordWrap/>
        <w:overflowPunct/>
        <w:topLinePunct w:val="0"/>
        <w:bidi w:val="0"/>
        <w:adjustRightInd/>
        <w:snapToGrid/>
        <w:spacing w:before="0" w:beforeLines="0" w:after="0" w:afterLines="0" w:line="276" w:lineRule="auto"/>
        <w:textAlignment w:val="auto"/>
        <w:rPr>
          <w:spacing w:val="0"/>
          <w:w w:val="100"/>
        </w:rPr>
      </w:pPr>
      <w:r>
        <w:rPr>
          <w:rFonts w:hint="eastAsia"/>
          <w:spacing w:val="0"/>
          <w:w w:val="100"/>
        </w:rPr>
        <w:t>根据不同的试验设计采用相应的统计分析方法进行数据分析。</w:t>
      </w:r>
    </w:p>
    <w:p w14:paraId="2E1E16CE">
      <w:pPr>
        <w:pStyle w:val="163"/>
        <w:keepNext w:val="0"/>
        <w:keepLines w:val="0"/>
        <w:pageBreakBefore w:val="0"/>
        <w:widowControl/>
        <w:kinsoku/>
        <w:wordWrap/>
        <w:overflowPunct/>
        <w:topLinePunct w:val="0"/>
        <w:bidi w:val="0"/>
        <w:adjustRightInd/>
        <w:snapToGrid/>
        <w:spacing w:before="0" w:beforeLines="0" w:after="0" w:afterLines="0" w:line="276" w:lineRule="auto"/>
        <w:textAlignment w:val="auto"/>
        <w:rPr>
          <w:spacing w:val="0"/>
          <w:w w:val="100"/>
          <w:highlight w:val="none"/>
        </w:rPr>
      </w:pPr>
      <w:r>
        <w:rPr>
          <w:rFonts w:hint="eastAsia"/>
          <w:spacing w:val="0"/>
          <w:w w:val="100"/>
          <w:highlight w:val="none"/>
        </w:rPr>
        <w:t>评价报告至少应包括：</w:t>
      </w:r>
    </w:p>
    <w:p w14:paraId="67A30AEB">
      <w:pPr>
        <w:pStyle w:val="175"/>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rFonts w:hint="default" w:ascii="Times New Roman" w:hAnsi="Times New Roman" w:cs="Times New Roman"/>
          <w:spacing w:val="0"/>
          <w:w w:val="100"/>
        </w:rPr>
      </w:pPr>
      <w:r>
        <w:rPr>
          <w:rFonts w:hint="eastAsia" w:ascii="Times New Roman" w:cs="Times New Roman"/>
          <w:spacing w:val="0"/>
          <w:w w:val="100"/>
          <w:lang w:val="en-US" w:eastAsia="zh-CN"/>
        </w:rPr>
        <w:t>a）</w:t>
      </w:r>
      <w:r>
        <w:rPr>
          <w:rFonts w:hint="default" w:ascii="Times New Roman" w:hAnsi="Times New Roman" w:cs="Times New Roman"/>
          <w:spacing w:val="0"/>
          <w:w w:val="100"/>
        </w:rPr>
        <w:t>试验名称；</w:t>
      </w:r>
    </w:p>
    <w:p w14:paraId="2BFAC706">
      <w:pPr>
        <w:pStyle w:val="175"/>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rFonts w:hint="default" w:ascii="Times New Roman" w:hAnsi="Times New Roman" w:cs="Times New Roman"/>
          <w:spacing w:val="0"/>
          <w:w w:val="100"/>
        </w:rPr>
      </w:pPr>
      <w:r>
        <w:rPr>
          <w:rFonts w:hint="eastAsia" w:ascii="Times New Roman" w:cs="Times New Roman"/>
          <w:spacing w:val="0"/>
          <w:w w:val="100"/>
          <w:lang w:val="en-US" w:eastAsia="zh-CN"/>
        </w:rPr>
        <w:t>b）</w:t>
      </w:r>
      <w:r>
        <w:rPr>
          <w:rFonts w:hint="default" w:ascii="Times New Roman" w:hAnsi="Times New Roman" w:cs="Times New Roman"/>
          <w:spacing w:val="0"/>
          <w:w w:val="100"/>
        </w:rPr>
        <w:t>摘要；</w:t>
      </w:r>
    </w:p>
    <w:p w14:paraId="02302153">
      <w:pPr>
        <w:pStyle w:val="175"/>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rFonts w:hint="default" w:ascii="Times New Roman" w:hAnsi="Times New Roman" w:cs="Times New Roman"/>
          <w:spacing w:val="0"/>
          <w:w w:val="100"/>
        </w:rPr>
      </w:pPr>
      <w:r>
        <w:rPr>
          <w:rFonts w:hint="eastAsia" w:ascii="Times New Roman" w:cs="Times New Roman"/>
          <w:spacing w:val="0"/>
          <w:w w:val="100"/>
          <w:lang w:val="en-US" w:eastAsia="zh-CN"/>
        </w:rPr>
        <w:t>c）</w:t>
      </w:r>
      <w:r>
        <w:rPr>
          <w:rFonts w:hint="default" w:ascii="Times New Roman" w:hAnsi="Times New Roman" w:cs="Times New Roman"/>
          <w:spacing w:val="0"/>
          <w:w w:val="100"/>
        </w:rPr>
        <w:t>试验目的；</w:t>
      </w:r>
    </w:p>
    <w:p w14:paraId="0C12F266">
      <w:pPr>
        <w:pStyle w:val="175"/>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rFonts w:hint="default" w:ascii="Times New Roman" w:hAnsi="Times New Roman" w:cs="Times New Roman"/>
          <w:spacing w:val="0"/>
          <w:w w:val="100"/>
        </w:rPr>
      </w:pPr>
      <w:r>
        <w:rPr>
          <w:rFonts w:hint="eastAsia" w:ascii="Times New Roman" w:cs="Times New Roman"/>
          <w:spacing w:val="0"/>
          <w:w w:val="100"/>
          <w:lang w:val="en-US" w:eastAsia="zh-CN"/>
        </w:rPr>
        <w:t>d）</w:t>
      </w:r>
      <w:r>
        <w:rPr>
          <w:rFonts w:hint="default" w:ascii="Times New Roman" w:hAnsi="Times New Roman" w:cs="Times New Roman"/>
          <w:spacing w:val="0"/>
          <w:w w:val="100"/>
        </w:rPr>
        <w:t>受试物；</w:t>
      </w:r>
    </w:p>
    <w:p w14:paraId="27768E1E">
      <w:pPr>
        <w:pStyle w:val="175"/>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rFonts w:hint="default" w:ascii="Times New Roman" w:hAnsi="Times New Roman" w:cs="Times New Roman"/>
          <w:spacing w:val="0"/>
          <w:w w:val="100"/>
        </w:rPr>
      </w:pPr>
      <w:r>
        <w:rPr>
          <w:rFonts w:hint="eastAsia" w:ascii="Times New Roman" w:cs="Times New Roman"/>
          <w:spacing w:val="0"/>
          <w:w w:val="100"/>
          <w:lang w:val="en-US" w:eastAsia="zh-CN"/>
        </w:rPr>
        <w:t>e）</w:t>
      </w:r>
      <w:r>
        <w:rPr>
          <w:rFonts w:hint="default" w:ascii="Times New Roman" w:hAnsi="Times New Roman" w:cs="Times New Roman"/>
          <w:spacing w:val="0"/>
          <w:w w:val="100"/>
        </w:rPr>
        <w:t>试验时间和地点；</w:t>
      </w:r>
    </w:p>
    <w:p w14:paraId="58AA1E7F">
      <w:pPr>
        <w:pStyle w:val="175"/>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rFonts w:hint="default" w:ascii="Times New Roman" w:hAnsi="Times New Roman" w:cs="Times New Roman"/>
          <w:spacing w:val="0"/>
          <w:w w:val="100"/>
        </w:rPr>
      </w:pPr>
      <w:r>
        <w:rPr>
          <w:rFonts w:hint="eastAsia" w:ascii="Times New Roman" w:cs="Times New Roman"/>
          <w:spacing w:val="0"/>
          <w:w w:val="100"/>
          <w:lang w:val="en-US" w:eastAsia="zh-CN"/>
        </w:rPr>
        <w:t>f）</w:t>
      </w:r>
      <w:r>
        <w:rPr>
          <w:rFonts w:hint="default" w:ascii="Times New Roman" w:hAnsi="Times New Roman" w:cs="Times New Roman"/>
          <w:spacing w:val="0"/>
          <w:w w:val="100"/>
        </w:rPr>
        <w:t>试验材料和方法；</w:t>
      </w:r>
    </w:p>
    <w:p w14:paraId="66319D2B">
      <w:pPr>
        <w:pStyle w:val="175"/>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rFonts w:hint="default" w:ascii="Times New Roman" w:hAnsi="Times New Roman" w:cs="Times New Roman"/>
          <w:spacing w:val="0"/>
          <w:w w:val="100"/>
        </w:rPr>
      </w:pPr>
      <w:r>
        <w:rPr>
          <w:rFonts w:hint="eastAsia" w:ascii="Times New Roman" w:cs="Times New Roman"/>
          <w:spacing w:val="0"/>
          <w:w w:val="100"/>
          <w:lang w:val="en-US" w:eastAsia="zh-CN"/>
        </w:rPr>
        <w:t>g）</w:t>
      </w:r>
      <w:r>
        <w:rPr>
          <w:rFonts w:hint="default" w:ascii="Times New Roman" w:hAnsi="Times New Roman" w:cs="Times New Roman"/>
          <w:spacing w:val="0"/>
          <w:w w:val="100"/>
        </w:rPr>
        <w:t>结果；</w:t>
      </w:r>
    </w:p>
    <w:p w14:paraId="0D264812">
      <w:pPr>
        <w:pStyle w:val="175"/>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rFonts w:hint="default" w:ascii="Times New Roman" w:hAnsi="Times New Roman" w:cs="Times New Roman"/>
          <w:spacing w:val="0"/>
          <w:w w:val="100"/>
        </w:rPr>
      </w:pPr>
      <w:r>
        <w:rPr>
          <w:rFonts w:hint="eastAsia" w:ascii="Times New Roman" w:cs="Times New Roman"/>
          <w:spacing w:val="0"/>
          <w:w w:val="100"/>
          <w:lang w:val="en-US" w:eastAsia="zh-CN"/>
        </w:rPr>
        <w:t>h）</w:t>
      </w:r>
      <w:r>
        <w:rPr>
          <w:rFonts w:hint="default" w:ascii="Times New Roman" w:hAnsi="Times New Roman" w:cs="Times New Roman"/>
          <w:spacing w:val="0"/>
          <w:w w:val="100"/>
        </w:rPr>
        <w:t>结论；</w:t>
      </w:r>
    </w:p>
    <w:p w14:paraId="32A21439">
      <w:pPr>
        <w:pStyle w:val="175"/>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rFonts w:hint="default" w:ascii="Times New Roman" w:hAnsi="Times New Roman" w:cs="Times New Roman"/>
          <w:spacing w:val="0"/>
          <w:w w:val="100"/>
        </w:rPr>
      </w:pPr>
      <w:r>
        <w:rPr>
          <w:rFonts w:hint="eastAsia" w:ascii="Times New Roman" w:cs="Times New Roman"/>
          <w:spacing w:val="0"/>
          <w:w w:val="100"/>
          <w:lang w:val="en-US" w:eastAsia="zh-CN"/>
        </w:rPr>
        <w:t>i）</w:t>
      </w:r>
      <w:r>
        <w:rPr>
          <w:rFonts w:hint="default" w:ascii="Times New Roman" w:hAnsi="Times New Roman" w:cs="Times New Roman"/>
          <w:spacing w:val="0"/>
          <w:w w:val="100"/>
        </w:rPr>
        <w:t>参考文献；</w:t>
      </w:r>
    </w:p>
    <w:p w14:paraId="1A2C8B9B">
      <w:pPr>
        <w:pStyle w:val="175"/>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spacing w:val="0"/>
          <w:w w:val="100"/>
        </w:rPr>
      </w:pPr>
      <w:r>
        <w:rPr>
          <w:rFonts w:hint="eastAsia" w:ascii="Times New Roman" w:cs="Times New Roman"/>
          <w:spacing w:val="0"/>
          <w:w w:val="100"/>
          <w:lang w:val="en-US" w:eastAsia="zh-CN"/>
        </w:rPr>
        <w:t>j）</w:t>
      </w:r>
      <w:r>
        <w:rPr>
          <w:rFonts w:hint="default" w:ascii="Times New Roman" w:hAnsi="Times New Roman" w:cs="Times New Roman"/>
          <w:spacing w:val="0"/>
          <w:w w:val="100"/>
        </w:rPr>
        <w:t>试验机构和操作人员，包括试验机构的名称，试验操作人员、试验负责人和报告签发人的签名，报告签发时间，加盖签发机构的单位公章或专业实验室印章；外检数据应提供检测机构出具的检测报告</w:t>
      </w:r>
      <w:r>
        <w:rPr>
          <w:rFonts w:hint="eastAsia"/>
          <w:spacing w:val="0"/>
          <w:w w:val="100"/>
        </w:rPr>
        <w:t>。</w:t>
      </w:r>
    </w:p>
    <w:p w14:paraId="59B3B871">
      <w:pPr>
        <w:pStyle w:val="163"/>
        <w:keepNext w:val="0"/>
        <w:keepLines w:val="0"/>
        <w:pageBreakBefore w:val="0"/>
        <w:widowControl/>
        <w:kinsoku/>
        <w:wordWrap/>
        <w:overflowPunct/>
        <w:topLinePunct w:val="0"/>
        <w:bidi w:val="0"/>
        <w:adjustRightInd/>
        <w:snapToGrid/>
        <w:spacing w:before="0" w:beforeLines="0" w:after="0" w:afterLines="0" w:line="276" w:lineRule="auto"/>
        <w:textAlignment w:val="auto"/>
        <w:rPr>
          <w:rFonts w:hint="default" w:ascii="Times New Roman" w:hAnsi="Times New Roman" w:cs="Times New Roman"/>
          <w:spacing w:val="0"/>
          <w:w w:val="100"/>
        </w:rPr>
      </w:pPr>
      <w:r>
        <w:rPr>
          <w:rFonts w:hint="default" w:ascii="Times New Roman" w:hAnsi="Times New Roman" w:cs="Times New Roman"/>
          <w:spacing w:val="0"/>
          <w:w w:val="100"/>
        </w:rPr>
        <w:t>安全性评价报告、原始记录、图表和照片、试验方案及其检测报告等原始资料应存档备查，保存时间一般不得少于5年。受试物样品在有效期应有留样。</w:t>
      </w:r>
    </w:p>
    <w:p w14:paraId="037BFE16">
      <w:pPr>
        <w:pStyle w:val="57"/>
        <w:ind w:firstLine="420"/>
        <w:rPr>
          <w:spacing w:val="0"/>
          <w:w w:val="100"/>
        </w:rPr>
      </w:pPr>
    </w:p>
    <w:p w14:paraId="08BEBBBC">
      <w:pPr>
        <w:pStyle w:val="57"/>
        <w:ind w:firstLine="420"/>
        <w:rPr>
          <w:spacing w:val="0"/>
          <w:w w:val="100"/>
        </w:rPr>
      </w:pPr>
    </w:p>
    <w:p w14:paraId="236F80F4">
      <w:pPr>
        <w:pStyle w:val="57"/>
        <w:ind w:firstLine="420"/>
        <w:rPr>
          <w:spacing w:val="0"/>
          <w:w w:val="100"/>
        </w:rPr>
      </w:pPr>
    </w:p>
    <w:p w14:paraId="1D8F9D15">
      <w:pPr>
        <w:pStyle w:val="57"/>
        <w:ind w:firstLine="420"/>
        <w:rPr>
          <w:spacing w:val="0"/>
          <w:w w:val="100"/>
        </w:rPr>
      </w:pPr>
    </w:p>
    <w:p w14:paraId="217C58BD">
      <w:pPr>
        <w:pStyle w:val="57"/>
        <w:ind w:firstLine="420"/>
        <w:rPr>
          <w:spacing w:val="0"/>
          <w:w w:val="100"/>
        </w:rPr>
      </w:pPr>
    </w:p>
    <w:p w14:paraId="1563F3D8">
      <w:pPr>
        <w:pStyle w:val="57"/>
        <w:ind w:firstLine="420"/>
        <w:rPr>
          <w:spacing w:val="0"/>
          <w:w w:val="100"/>
        </w:rPr>
      </w:pPr>
    </w:p>
    <w:p w14:paraId="3843CF5A">
      <w:pPr>
        <w:pStyle w:val="57"/>
        <w:ind w:firstLine="420"/>
        <w:rPr>
          <w:spacing w:val="0"/>
          <w:w w:val="100"/>
        </w:rPr>
      </w:pPr>
    </w:p>
    <w:p w14:paraId="58ADA3BA">
      <w:pPr>
        <w:pStyle w:val="57"/>
        <w:ind w:firstLine="420"/>
        <w:rPr>
          <w:spacing w:val="0"/>
          <w:w w:val="100"/>
        </w:rPr>
      </w:pPr>
    </w:p>
    <w:p w14:paraId="24B4A609">
      <w:pPr>
        <w:pStyle w:val="57"/>
        <w:ind w:firstLine="420"/>
        <w:rPr>
          <w:spacing w:val="0"/>
          <w:w w:val="100"/>
        </w:rPr>
      </w:pPr>
    </w:p>
    <w:p w14:paraId="0F9797A9">
      <w:pPr>
        <w:pStyle w:val="57"/>
        <w:ind w:firstLine="420"/>
        <w:rPr>
          <w:spacing w:val="0"/>
          <w:w w:val="100"/>
        </w:rPr>
      </w:pPr>
    </w:p>
    <w:p w14:paraId="7D9C8E05">
      <w:pPr>
        <w:pStyle w:val="57"/>
        <w:ind w:firstLine="420"/>
        <w:rPr>
          <w:spacing w:val="0"/>
          <w:w w:val="100"/>
        </w:rPr>
      </w:pPr>
    </w:p>
    <w:p w14:paraId="51CDC7A1">
      <w:pPr>
        <w:pStyle w:val="57"/>
        <w:ind w:firstLine="420"/>
        <w:rPr>
          <w:spacing w:val="0"/>
          <w:w w:val="100"/>
        </w:rPr>
      </w:pPr>
    </w:p>
    <w:p w14:paraId="5F77A83B">
      <w:pPr>
        <w:pStyle w:val="57"/>
        <w:ind w:firstLine="420"/>
        <w:rPr>
          <w:spacing w:val="0"/>
          <w:w w:val="100"/>
        </w:rPr>
      </w:pPr>
    </w:p>
    <w:p w14:paraId="5062049B">
      <w:pPr>
        <w:pStyle w:val="57"/>
        <w:ind w:firstLine="420"/>
        <w:rPr>
          <w:spacing w:val="0"/>
          <w:w w:val="100"/>
        </w:rPr>
      </w:pPr>
    </w:p>
    <w:p w14:paraId="38D52AFF">
      <w:pPr>
        <w:pStyle w:val="57"/>
        <w:ind w:firstLine="420"/>
        <w:rPr>
          <w:spacing w:val="0"/>
          <w:w w:val="100"/>
        </w:rPr>
      </w:pPr>
    </w:p>
    <w:p w14:paraId="060A58F2">
      <w:pPr>
        <w:pStyle w:val="57"/>
        <w:ind w:firstLine="420"/>
        <w:rPr>
          <w:spacing w:val="0"/>
          <w:w w:val="100"/>
        </w:rPr>
      </w:pPr>
    </w:p>
    <w:p w14:paraId="7958B2E8">
      <w:pPr>
        <w:pStyle w:val="57"/>
        <w:ind w:firstLine="420"/>
        <w:rPr>
          <w:spacing w:val="0"/>
          <w:w w:val="100"/>
        </w:rPr>
      </w:pPr>
    </w:p>
    <w:p w14:paraId="64A55FE2">
      <w:pPr>
        <w:pStyle w:val="57"/>
        <w:ind w:firstLine="420"/>
        <w:rPr>
          <w:spacing w:val="0"/>
          <w:w w:val="100"/>
        </w:rPr>
      </w:pPr>
    </w:p>
    <w:p w14:paraId="610B44FB">
      <w:pPr>
        <w:pStyle w:val="57"/>
        <w:ind w:firstLine="420"/>
        <w:rPr>
          <w:spacing w:val="0"/>
          <w:w w:val="100"/>
        </w:rPr>
      </w:pPr>
    </w:p>
    <w:p w14:paraId="3C36C8D4">
      <w:pPr>
        <w:pStyle w:val="57"/>
        <w:ind w:firstLine="420"/>
        <w:rPr>
          <w:spacing w:val="0"/>
          <w:w w:val="100"/>
        </w:rPr>
      </w:pPr>
    </w:p>
    <w:p w14:paraId="62B67EBA">
      <w:pPr>
        <w:pStyle w:val="57"/>
        <w:ind w:firstLine="420"/>
        <w:rPr>
          <w:spacing w:val="0"/>
          <w:w w:val="100"/>
        </w:rPr>
      </w:pPr>
    </w:p>
    <w:p w14:paraId="720F1A84">
      <w:pPr>
        <w:pStyle w:val="57"/>
        <w:ind w:firstLine="420"/>
        <w:rPr>
          <w:spacing w:val="0"/>
          <w:w w:val="100"/>
        </w:rPr>
      </w:pPr>
    </w:p>
    <w:p w14:paraId="6A7AC3B6">
      <w:pPr>
        <w:pStyle w:val="57"/>
        <w:ind w:firstLine="420"/>
        <w:rPr>
          <w:spacing w:val="0"/>
          <w:w w:val="100"/>
        </w:rPr>
      </w:pPr>
    </w:p>
    <w:p w14:paraId="23960BA2">
      <w:pPr>
        <w:pStyle w:val="57"/>
        <w:ind w:firstLine="420"/>
        <w:rPr>
          <w:spacing w:val="0"/>
          <w:w w:val="100"/>
        </w:rPr>
      </w:pPr>
    </w:p>
    <w:p w14:paraId="3BE20256">
      <w:pPr>
        <w:pStyle w:val="57"/>
        <w:ind w:firstLine="420"/>
        <w:rPr>
          <w:spacing w:val="0"/>
          <w:w w:val="100"/>
        </w:rPr>
      </w:pPr>
    </w:p>
    <w:p w14:paraId="3FA7CEBD">
      <w:pPr>
        <w:pStyle w:val="57"/>
        <w:ind w:firstLine="420"/>
        <w:rPr>
          <w:spacing w:val="0"/>
          <w:w w:val="100"/>
        </w:rPr>
      </w:pPr>
    </w:p>
    <w:p w14:paraId="117B1087">
      <w:pPr>
        <w:pStyle w:val="57"/>
        <w:ind w:firstLine="420"/>
        <w:rPr>
          <w:spacing w:val="0"/>
          <w:w w:val="100"/>
        </w:rPr>
      </w:pPr>
    </w:p>
    <w:p w14:paraId="4D915D21">
      <w:pPr>
        <w:pStyle w:val="57"/>
        <w:ind w:firstLine="420"/>
        <w:rPr>
          <w:spacing w:val="0"/>
          <w:w w:val="100"/>
        </w:rPr>
      </w:pPr>
    </w:p>
    <w:p w14:paraId="196E0E04">
      <w:pPr>
        <w:rPr>
          <w:rFonts w:ascii="黑体" w:hAnsi="黑体" w:eastAsia="黑体" w:cs="黑体"/>
          <w:spacing w:val="0"/>
          <w:w w:val="100"/>
        </w:rPr>
      </w:pPr>
      <w:r>
        <w:rPr>
          <w:rFonts w:hint="eastAsia" w:ascii="黑体" w:hAnsi="黑体" w:eastAsia="黑体" w:cs="黑体"/>
          <w:spacing w:val="0"/>
          <w:w w:val="100"/>
        </w:rPr>
        <w:br w:type="page"/>
      </w:r>
    </w:p>
    <w:p w14:paraId="60D72247">
      <w:pPr>
        <w:adjustRightInd/>
        <w:snapToGrid w:val="0"/>
        <w:spacing w:after="120" w:line="240" w:lineRule="auto"/>
        <w:ind w:left="420" w:leftChars="200"/>
        <w:jc w:val="center"/>
        <w:rPr>
          <w:rFonts w:hint="default" w:ascii="黑体" w:hAnsi="黑体" w:eastAsia="黑体" w:cs="黑体"/>
          <w:spacing w:val="0"/>
          <w:w w:val="100"/>
          <w:lang w:val="en-US" w:eastAsia="zh-CN"/>
        </w:rPr>
      </w:pPr>
      <w:r>
        <w:rPr>
          <w:rFonts w:hint="eastAsia" w:ascii="黑体" w:hAnsi="黑体" w:eastAsia="黑体" w:cs="黑体"/>
          <w:spacing w:val="0"/>
          <w:w w:val="100"/>
        </w:rPr>
        <w:t>附录A</w:t>
      </w:r>
    </w:p>
    <w:p w14:paraId="3E22CF97">
      <w:pPr>
        <w:adjustRightInd/>
        <w:snapToGrid w:val="0"/>
        <w:spacing w:after="120" w:line="240" w:lineRule="auto"/>
        <w:ind w:left="420" w:leftChars="200"/>
        <w:jc w:val="center"/>
        <w:rPr>
          <w:rFonts w:ascii="黑体" w:hAnsi="黑体" w:eastAsia="黑体" w:cs="黑体"/>
          <w:spacing w:val="0"/>
          <w:w w:val="100"/>
        </w:rPr>
      </w:pPr>
      <w:r>
        <w:rPr>
          <w:rFonts w:hint="eastAsia" w:ascii="黑体" w:hAnsi="黑体" w:eastAsia="黑体" w:cs="黑体"/>
          <w:spacing w:val="0"/>
          <w:w w:val="100"/>
        </w:rPr>
        <w:t>（资料性）</w:t>
      </w:r>
    </w:p>
    <w:p w14:paraId="6ADD0447">
      <w:pPr>
        <w:adjustRightInd/>
        <w:snapToGrid w:val="0"/>
        <w:spacing w:after="120" w:line="240" w:lineRule="auto"/>
        <w:ind w:left="420" w:leftChars="200"/>
        <w:jc w:val="center"/>
        <w:rPr>
          <w:rFonts w:ascii="黑体" w:hAnsi="黑体" w:eastAsia="黑体" w:cs="黑体"/>
          <w:spacing w:val="0"/>
          <w:w w:val="100"/>
        </w:rPr>
      </w:pPr>
      <w:r>
        <w:rPr>
          <w:rFonts w:hint="eastAsia" w:ascii="黑体" w:hAnsi="黑体" w:eastAsia="黑体" w:cs="黑体"/>
          <w:spacing w:val="0"/>
          <w:w w:val="100"/>
        </w:rPr>
        <w:t>水产养殖动物的急性毒性试验</w:t>
      </w:r>
    </w:p>
    <w:p w14:paraId="6B02C713">
      <w:pPr>
        <w:pStyle w:val="13"/>
        <w:spacing w:after="0" w:line="360" w:lineRule="auto"/>
        <w:jc w:val="left"/>
        <w:outlineLvl w:val="0"/>
        <w:rPr>
          <w:rFonts w:ascii="黑体" w:hAnsi="黑体" w:eastAsia="黑体" w:cs="黑体"/>
          <w:spacing w:val="0"/>
          <w:w w:val="100"/>
        </w:rPr>
      </w:pPr>
      <w:r>
        <w:rPr>
          <w:rFonts w:hint="eastAsia" w:ascii="黑体" w:hAnsi="黑体" w:eastAsia="黑体" w:cs="黑体"/>
          <w:spacing w:val="0"/>
          <w:w w:val="100"/>
          <w:sz w:val="22"/>
          <w:szCs w:val="22"/>
        </w:rPr>
        <w:t>1 方法原理</w:t>
      </w:r>
    </w:p>
    <w:p w14:paraId="7E9A675C">
      <w:pPr>
        <w:keepNext w:val="0"/>
        <w:keepLines w:val="0"/>
        <w:pageBreakBefore w:val="0"/>
        <w:widowControl w:val="0"/>
        <w:kinsoku/>
        <w:wordWrap/>
        <w:overflowPunct/>
        <w:topLinePunct w:val="0"/>
        <w:autoSpaceDE/>
        <w:autoSpaceDN/>
        <w:bidi w:val="0"/>
        <w:adjustRightInd w:val="0"/>
        <w:snapToGrid/>
        <w:spacing w:line="276" w:lineRule="auto"/>
        <w:ind w:firstLine="420" w:firstLineChars="200"/>
        <w:jc w:val="left"/>
        <w:textAlignment w:val="auto"/>
        <w:rPr>
          <w:rFonts w:ascii="宋体" w:hAnsi="宋体" w:cs="宋体"/>
          <w:spacing w:val="0"/>
          <w:w w:val="100"/>
          <w:sz w:val="21"/>
          <w:szCs w:val="21"/>
        </w:rPr>
      </w:pPr>
      <w:r>
        <w:rPr>
          <w:rFonts w:hint="eastAsia" w:ascii="宋体" w:hAnsi="宋体" w:cs="宋体"/>
          <w:spacing w:val="0"/>
          <w:w w:val="100"/>
          <w:sz w:val="21"/>
          <w:szCs w:val="21"/>
        </w:rPr>
        <w:t>水产养殖动物类急性毒性试验用于评价受试物对水产养殖动物类可能产生的影响，以短期暴露效应表明受试物的危害性。</w:t>
      </w:r>
    </w:p>
    <w:p w14:paraId="2C653350">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将水产养殖动物暴露于不同浓度的受试物溶液，以96</w:t>
      </w:r>
      <w:r>
        <w:rPr>
          <w:rFonts w:hint="eastAsia" w:ascii="Times New Roman" w:hAnsi="Times New Roman" w:cs="Times New Roman"/>
          <w:spacing w:val="0"/>
          <w:w w:val="100"/>
          <w:sz w:val="21"/>
          <w:szCs w:val="21"/>
          <w:lang w:val="en-US" w:eastAsia="zh-CN"/>
        </w:rPr>
        <w:t xml:space="preserve"> </w:t>
      </w:r>
      <w:r>
        <w:rPr>
          <w:rFonts w:hint="default" w:ascii="Times New Roman" w:hAnsi="Times New Roman" w:cs="Times New Roman"/>
          <w:spacing w:val="0"/>
          <w:w w:val="100"/>
          <w:sz w:val="21"/>
          <w:szCs w:val="21"/>
        </w:rPr>
        <w:t>h为试验周期，在24</w:t>
      </w:r>
      <w:r>
        <w:rPr>
          <w:rFonts w:hint="eastAsia" w:ascii="Times New Roman" w:hAnsi="Times New Roman" w:cs="Times New Roman"/>
          <w:spacing w:val="0"/>
          <w:w w:val="100"/>
          <w:sz w:val="21"/>
          <w:szCs w:val="21"/>
          <w:lang w:val="en-US" w:eastAsia="zh-CN"/>
        </w:rPr>
        <w:t xml:space="preserve"> </w:t>
      </w:r>
      <w:r>
        <w:rPr>
          <w:rFonts w:hint="default" w:ascii="Times New Roman" w:hAnsi="Times New Roman" w:cs="Times New Roman"/>
          <w:spacing w:val="0"/>
          <w:w w:val="100"/>
          <w:sz w:val="21"/>
          <w:szCs w:val="21"/>
        </w:rPr>
        <w:t>h、48</w:t>
      </w:r>
      <w:r>
        <w:rPr>
          <w:rFonts w:hint="eastAsia" w:ascii="Times New Roman" w:hAnsi="Times New Roman" w:cs="Times New Roman"/>
          <w:spacing w:val="0"/>
          <w:w w:val="100"/>
          <w:sz w:val="21"/>
          <w:szCs w:val="21"/>
          <w:lang w:val="en-US" w:eastAsia="zh-CN"/>
        </w:rPr>
        <w:t xml:space="preserve"> </w:t>
      </w:r>
      <w:r>
        <w:rPr>
          <w:rFonts w:hint="default" w:ascii="Times New Roman" w:hAnsi="Times New Roman" w:cs="Times New Roman"/>
          <w:spacing w:val="0"/>
          <w:w w:val="100"/>
          <w:sz w:val="21"/>
          <w:szCs w:val="21"/>
        </w:rPr>
        <w:t>h、72</w:t>
      </w:r>
      <w:r>
        <w:rPr>
          <w:rFonts w:hint="eastAsia" w:ascii="Times New Roman" w:hAnsi="Times New Roman" w:cs="Times New Roman"/>
          <w:spacing w:val="0"/>
          <w:w w:val="100"/>
          <w:sz w:val="21"/>
          <w:szCs w:val="21"/>
          <w:lang w:val="en-US" w:eastAsia="zh-CN"/>
        </w:rPr>
        <w:t xml:space="preserve"> </w:t>
      </w:r>
      <w:r>
        <w:rPr>
          <w:rFonts w:hint="default" w:ascii="Times New Roman" w:hAnsi="Times New Roman" w:cs="Times New Roman"/>
          <w:spacing w:val="0"/>
          <w:w w:val="100"/>
          <w:sz w:val="21"/>
          <w:szCs w:val="21"/>
        </w:rPr>
        <w:t>h和96</w:t>
      </w:r>
      <w:r>
        <w:rPr>
          <w:rFonts w:hint="eastAsia" w:ascii="Times New Roman" w:hAnsi="Times New Roman" w:cs="Times New Roman"/>
          <w:spacing w:val="0"/>
          <w:w w:val="100"/>
          <w:sz w:val="21"/>
          <w:szCs w:val="21"/>
          <w:lang w:val="en-US" w:eastAsia="zh-CN"/>
        </w:rPr>
        <w:t xml:space="preserve"> </w:t>
      </w:r>
      <w:r>
        <w:rPr>
          <w:rFonts w:hint="default" w:ascii="Times New Roman" w:hAnsi="Times New Roman" w:cs="Times New Roman"/>
          <w:spacing w:val="0"/>
          <w:w w:val="100"/>
          <w:sz w:val="21"/>
          <w:szCs w:val="21"/>
        </w:rPr>
        <w:t>h时记录水产养殖动物的死亡率，分别确定50%试验水产养殖动物死亡时的受试物浓度，用LC</w:t>
      </w:r>
      <w:r>
        <w:rPr>
          <w:rFonts w:hint="default" w:ascii="Times New Roman" w:hAnsi="Times New Roman" w:cs="Times New Roman"/>
          <w:spacing w:val="0"/>
          <w:w w:val="100"/>
          <w:sz w:val="21"/>
          <w:szCs w:val="21"/>
          <w:vertAlign w:val="subscript"/>
        </w:rPr>
        <w:t>50</w:t>
      </w:r>
      <w:r>
        <w:rPr>
          <w:rFonts w:hint="default" w:ascii="Times New Roman" w:hAnsi="Times New Roman" w:cs="Times New Roman"/>
          <w:spacing w:val="0"/>
          <w:w w:val="100"/>
          <w:sz w:val="21"/>
          <w:szCs w:val="21"/>
        </w:rPr>
        <w:t>表示。</w:t>
      </w:r>
    </w:p>
    <w:p w14:paraId="5C535869">
      <w:pPr>
        <w:pStyle w:val="13"/>
        <w:spacing w:after="0" w:line="360" w:lineRule="auto"/>
        <w:jc w:val="left"/>
        <w:outlineLvl w:val="0"/>
        <w:rPr>
          <w:rFonts w:ascii="黑体" w:hAnsi="黑体" w:eastAsia="黑体" w:cs="黑体"/>
          <w:spacing w:val="0"/>
          <w:w w:val="100"/>
        </w:rPr>
      </w:pPr>
      <w:r>
        <w:rPr>
          <w:rFonts w:hint="eastAsia" w:ascii="黑体" w:hAnsi="黑体" w:eastAsia="黑体" w:cs="黑体"/>
          <w:spacing w:val="0"/>
          <w:w w:val="100"/>
          <w:sz w:val="22"/>
          <w:szCs w:val="22"/>
        </w:rPr>
        <w:t>2 试验准备</w:t>
      </w:r>
    </w:p>
    <w:p w14:paraId="0C73EE01">
      <w:pPr>
        <w:pStyle w:val="13"/>
        <w:spacing w:after="0" w:line="360" w:lineRule="auto"/>
        <w:jc w:val="left"/>
        <w:outlineLvl w:val="0"/>
        <w:rPr>
          <w:rFonts w:ascii="黑体" w:hAnsi="黑体" w:eastAsia="黑体" w:cs="黑体"/>
          <w:spacing w:val="0"/>
          <w:w w:val="100"/>
          <w:sz w:val="22"/>
          <w:szCs w:val="22"/>
        </w:rPr>
      </w:pPr>
      <w:r>
        <w:rPr>
          <w:rFonts w:hint="eastAsia" w:ascii="黑体" w:hAnsi="黑体" w:eastAsia="黑体" w:cs="黑体"/>
          <w:spacing w:val="0"/>
          <w:w w:val="100"/>
          <w:sz w:val="22"/>
          <w:szCs w:val="22"/>
        </w:rPr>
        <w:t>2.1 仪器设备</w:t>
      </w:r>
    </w:p>
    <w:p w14:paraId="36EC02DC">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ascii="宋体" w:hAnsi="宋体" w:cs="宋体"/>
          <w:spacing w:val="0"/>
          <w:w w:val="100"/>
          <w:sz w:val="21"/>
          <w:szCs w:val="21"/>
        </w:rPr>
      </w:pPr>
      <w:r>
        <w:rPr>
          <w:rFonts w:hint="eastAsia" w:ascii="宋体" w:hAnsi="宋体" w:cs="宋体"/>
          <w:spacing w:val="0"/>
          <w:w w:val="100"/>
          <w:sz w:val="21"/>
          <w:szCs w:val="21"/>
        </w:rPr>
        <w:t>仪器设备至少包括：</w:t>
      </w:r>
    </w:p>
    <w:p w14:paraId="3DFD4DDB">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highlight w:val="none"/>
        </w:rPr>
        <w:t>a</w:t>
      </w:r>
      <w:r>
        <w:rPr>
          <w:rFonts w:hint="default" w:ascii="Times New Roman" w:hAnsi="Times New Roman" w:cs="Times New Roman"/>
          <w:spacing w:val="0"/>
          <w:w w:val="100"/>
          <w:sz w:val="21"/>
          <w:szCs w:val="21"/>
          <w:highlight w:val="none"/>
          <w:lang w:eastAsia="zh-CN"/>
        </w:rPr>
        <w:t>）</w:t>
      </w:r>
      <w:r>
        <w:rPr>
          <w:rFonts w:hint="default" w:ascii="Times New Roman" w:hAnsi="Times New Roman" w:cs="Times New Roman"/>
          <w:spacing w:val="0"/>
          <w:w w:val="100"/>
          <w:sz w:val="21"/>
          <w:szCs w:val="21"/>
          <w:highlight w:val="none"/>
        </w:rPr>
        <w:t>溶解氧测定仪</w:t>
      </w:r>
      <w:r>
        <w:rPr>
          <w:rFonts w:hint="default" w:ascii="Times New Roman" w:hAnsi="Times New Roman" w:cs="Times New Roman"/>
          <w:spacing w:val="0"/>
          <w:w w:val="100"/>
          <w:sz w:val="21"/>
          <w:szCs w:val="21"/>
        </w:rPr>
        <w:t>；</w:t>
      </w:r>
    </w:p>
    <w:p w14:paraId="1CD2FE95">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b</w:t>
      </w:r>
      <w:r>
        <w:rPr>
          <w:rFonts w:hint="default"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水硬度计；</w:t>
      </w:r>
    </w:p>
    <w:p w14:paraId="69C65419">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c</w:t>
      </w:r>
      <w:r>
        <w:rPr>
          <w:rFonts w:hint="default"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温度控制仪；</w:t>
      </w:r>
    </w:p>
    <w:p w14:paraId="1E8A8E24">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d</w:t>
      </w:r>
      <w:r>
        <w:rPr>
          <w:rFonts w:hint="default"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化学惰性材料制成的水族箱或水槽，规格一致，体积适宜；</w:t>
      </w:r>
    </w:p>
    <w:p w14:paraId="77ACABA7">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e</w:t>
      </w:r>
      <w:r>
        <w:rPr>
          <w:rFonts w:hint="default"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pH计。</w:t>
      </w:r>
    </w:p>
    <w:p w14:paraId="552E5793">
      <w:pPr>
        <w:pStyle w:val="13"/>
        <w:spacing w:after="0" w:line="360" w:lineRule="auto"/>
        <w:jc w:val="left"/>
        <w:outlineLvl w:val="0"/>
        <w:rPr>
          <w:rFonts w:ascii="黑体" w:hAnsi="黑体" w:eastAsia="黑体" w:cs="黑体"/>
          <w:spacing w:val="0"/>
          <w:w w:val="100"/>
          <w:sz w:val="22"/>
          <w:szCs w:val="22"/>
        </w:rPr>
      </w:pPr>
      <w:r>
        <w:rPr>
          <w:rFonts w:hint="eastAsia" w:ascii="黑体" w:hAnsi="黑体" w:eastAsia="黑体" w:cs="黑体"/>
          <w:spacing w:val="0"/>
          <w:w w:val="100"/>
          <w:sz w:val="22"/>
          <w:szCs w:val="22"/>
        </w:rPr>
        <w:t>2.2 试验生物选择</w:t>
      </w:r>
    </w:p>
    <w:p w14:paraId="73050BA1">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ascii="宋体" w:hAnsi="宋体" w:cs="宋体"/>
          <w:spacing w:val="0"/>
          <w:w w:val="100"/>
          <w:sz w:val="21"/>
          <w:szCs w:val="21"/>
        </w:rPr>
      </w:pPr>
      <w:r>
        <w:rPr>
          <w:rFonts w:hint="eastAsia" w:ascii="宋体" w:hAnsi="宋体" w:cs="宋体"/>
          <w:spacing w:val="0"/>
          <w:w w:val="100"/>
          <w:sz w:val="21"/>
          <w:szCs w:val="21"/>
        </w:rPr>
        <w:t>选用一个或多个</w:t>
      </w:r>
      <w:r>
        <w:rPr>
          <w:rFonts w:hint="eastAsia" w:cs="宋体"/>
          <w:spacing w:val="0"/>
          <w:w w:val="100"/>
          <w:sz w:val="21"/>
          <w:szCs w:val="21"/>
        </w:rPr>
        <w:t>水产养殖动物</w:t>
      </w:r>
      <w:r>
        <w:rPr>
          <w:rFonts w:hint="eastAsia" w:ascii="宋体" w:hAnsi="宋体" w:cs="宋体"/>
          <w:spacing w:val="0"/>
          <w:w w:val="100"/>
          <w:sz w:val="21"/>
          <w:szCs w:val="21"/>
        </w:rPr>
        <w:t>，根据需要自行选择。建议根据易于饲养、方便试验</w:t>
      </w:r>
      <w:r>
        <w:rPr>
          <w:rFonts w:hint="eastAsia" w:cs="宋体"/>
          <w:spacing w:val="0"/>
          <w:w w:val="100"/>
          <w:sz w:val="21"/>
          <w:szCs w:val="21"/>
        </w:rPr>
        <w:t>、具有代表性</w:t>
      </w:r>
      <w:r>
        <w:rPr>
          <w:rFonts w:hint="eastAsia" w:ascii="宋体" w:hAnsi="宋体" w:cs="宋体"/>
          <w:spacing w:val="0"/>
          <w:w w:val="100"/>
          <w:sz w:val="21"/>
          <w:szCs w:val="21"/>
        </w:rPr>
        <w:t>等原则，并结合相关的经济、生物或生态因素等来确定</w:t>
      </w:r>
      <w:r>
        <w:rPr>
          <w:rFonts w:hint="eastAsia" w:cs="宋体"/>
          <w:spacing w:val="0"/>
          <w:w w:val="100"/>
          <w:sz w:val="21"/>
          <w:szCs w:val="21"/>
        </w:rPr>
        <w:t>水产养殖动物</w:t>
      </w:r>
      <w:r>
        <w:rPr>
          <w:rFonts w:hint="eastAsia" w:ascii="宋体" w:hAnsi="宋体" w:cs="宋体"/>
          <w:spacing w:val="0"/>
          <w:w w:val="100"/>
          <w:sz w:val="21"/>
          <w:szCs w:val="21"/>
        </w:rPr>
        <w:t>。试验用</w:t>
      </w:r>
      <w:r>
        <w:rPr>
          <w:rFonts w:hint="eastAsia" w:cs="宋体"/>
          <w:spacing w:val="0"/>
          <w:w w:val="100"/>
          <w:sz w:val="21"/>
          <w:szCs w:val="21"/>
        </w:rPr>
        <w:t>水产养殖动物</w:t>
      </w:r>
      <w:r>
        <w:rPr>
          <w:rFonts w:hint="eastAsia" w:ascii="宋体" w:hAnsi="宋体" w:cs="宋体"/>
          <w:spacing w:val="0"/>
          <w:w w:val="100"/>
          <w:sz w:val="21"/>
          <w:szCs w:val="21"/>
        </w:rPr>
        <w:t>应健康，无明显的畸形。</w:t>
      </w:r>
    </w:p>
    <w:p w14:paraId="7D957278">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ascii="宋体" w:hAnsi="宋体" w:cs="宋体"/>
          <w:spacing w:val="0"/>
          <w:w w:val="100"/>
          <w:sz w:val="21"/>
          <w:szCs w:val="21"/>
        </w:rPr>
      </w:pPr>
      <w:r>
        <w:rPr>
          <w:rFonts w:hint="eastAsia" w:ascii="宋体" w:hAnsi="宋体" w:cs="宋体"/>
          <w:spacing w:val="0"/>
          <w:w w:val="100"/>
          <w:sz w:val="21"/>
          <w:szCs w:val="21"/>
        </w:rPr>
        <w:t>可在养</w:t>
      </w:r>
      <w:r>
        <w:rPr>
          <w:rFonts w:hint="eastAsia" w:cs="宋体"/>
          <w:spacing w:val="0"/>
          <w:w w:val="100"/>
          <w:sz w:val="21"/>
          <w:szCs w:val="21"/>
        </w:rPr>
        <w:t>殖</w:t>
      </w:r>
      <w:r>
        <w:rPr>
          <w:rFonts w:hint="eastAsia" w:ascii="宋体" w:hAnsi="宋体" w:cs="宋体"/>
          <w:spacing w:val="0"/>
          <w:w w:val="100"/>
          <w:sz w:val="21"/>
          <w:szCs w:val="21"/>
        </w:rPr>
        <w:t>场或实验室中疾病与寄生虫控制的条件下进行驯化和饲养，使试验</w:t>
      </w:r>
      <w:r>
        <w:rPr>
          <w:rFonts w:hint="eastAsia" w:cs="宋体"/>
          <w:spacing w:val="0"/>
          <w:w w:val="100"/>
          <w:sz w:val="21"/>
          <w:szCs w:val="21"/>
        </w:rPr>
        <w:t>水产养殖动物</w:t>
      </w:r>
      <w:r>
        <w:rPr>
          <w:rFonts w:hint="eastAsia" w:ascii="宋体" w:hAnsi="宋体" w:cs="宋体"/>
          <w:spacing w:val="0"/>
          <w:w w:val="100"/>
          <w:sz w:val="21"/>
          <w:szCs w:val="21"/>
        </w:rPr>
        <w:t>保持健康，遗传清晰。这些</w:t>
      </w:r>
      <w:r>
        <w:rPr>
          <w:rFonts w:hint="eastAsia" w:cs="宋体"/>
          <w:spacing w:val="0"/>
          <w:w w:val="100"/>
          <w:sz w:val="21"/>
          <w:szCs w:val="21"/>
        </w:rPr>
        <w:t>水产养殖动物</w:t>
      </w:r>
      <w:r>
        <w:rPr>
          <w:rFonts w:hint="eastAsia" w:ascii="宋体" w:hAnsi="宋体" w:cs="宋体"/>
          <w:spacing w:val="0"/>
          <w:w w:val="100"/>
          <w:sz w:val="21"/>
          <w:szCs w:val="21"/>
        </w:rPr>
        <w:t>在世界许多地方都可找到，若使用其他符合以上标准的</w:t>
      </w:r>
      <w:r>
        <w:rPr>
          <w:rFonts w:hint="eastAsia" w:cs="宋体"/>
          <w:spacing w:val="0"/>
          <w:w w:val="100"/>
          <w:sz w:val="21"/>
          <w:szCs w:val="21"/>
        </w:rPr>
        <w:t>水产养殖动物</w:t>
      </w:r>
      <w:r>
        <w:rPr>
          <w:rFonts w:hint="eastAsia" w:ascii="宋体" w:hAnsi="宋体" w:cs="宋体"/>
          <w:spacing w:val="0"/>
          <w:w w:val="100"/>
          <w:sz w:val="21"/>
          <w:szCs w:val="21"/>
        </w:rPr>
        <w:t>，试验方法应作相应调整以提供合适的试验条件。</w:t>
      </w:r>
    </w:p>
    <w:p w14:paraId="4969E88D">
      <w:pPr>
        <w:pStyle w:val="13"/>
        <w:spacing w:after="0" w:line="360" w:lineRule="auto"/>
        <w:jc w:val="left"/>
        <w:outlineLvl w:val="0"/>
        <w:rPr>
          <w:rFonts w:ascii="黑体" w:hAnsi="黑体" w:eastAsia="黑体" w:cs="黑体"/>
          <w:spacing w:val="0"/>
          <w:w w:val="100"/>
          <w:sz w:val="22"/>
          <w:szCs w:val="22"/>
        </w:rPr>
      </w:pPr>
      <w:r>
        <w:rPr>
          <w:rFonts w:hint="eastAsia" w:ascii="黑体" w:hAnsi="黑体" w:eastAsia="黑体" w:cs="黑体"/>
          <w:spacing w:val="0"/>
          <w:w w:val="100"/>
          <w:sz w:val="22"/>
          <w:szCs w:val="22"/>
          <w:lang w:val="en-US" w:eastAsia="zh-CN"/>
        </w:rPr>
        <w:t>2</w:t>
      </w:r>
      <w:r>
        <w:rPr>
          <w:rFonts w:hint="eastAsia" w:ascii="黑体" w:hAnsi="黑体" w:eastAsia="黑体" w:cs="黑体"/>
          <w:spacing w:val="0"/>
          <w:w w:val="100"/>
          <w:sz w:val="22"/>
          <w:szCs w:val="22"/>
        </w:rPr>
        <w:t>.3 试验水产养殖动物的驯养</w:t>
      </w:r>
    </w:p>
    <w:p w14:paraId="21537FD3">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试验水产养殖动物用于试验之前，应在实验室至少暂养12</w:t>
      </w:r>
      <w:r>
        <w:rPr>
          <w:rFonts w:hint="default" w:ascii="Times New Roman" w:hAnsi="Times New Roman" w:cs="Times New Roman"/>
          <w:spacing w:val="0"/>
          <w:w w:val="100"/>
          <w:sz w:val="21"/>
          <w:szCs w:val="21"/>
          <w:lang w:val="en-US" w:eastAsia="zh-CN"/>
        </w:rPr>
        <w:t xml:space="preserve"> </w:t>
      </w:r>
      <w:r>
        <w:rPr>
          <w:rFonts w:hint="default" w:ascii="Times New Roman" w:hAnsi="Times New Roman" w:cs="Times New Roman"/>
          <w:spacing w:val="0"/>
          <w:w w:val="100"/>
          <w:sz w:val="21"/>
          <w:szCs w:val="21"/>
        </w:rPr>
        <w:t>d。临试验前，应在符合下列条件的环境中至少驯养7 d:</w:t>
      </w:r>
    </w:p>
    <w:p w14:paraId="6D069192">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——水：与试验用水相同；</w:t>
      </w:r>
    </w:p>
    <w:p w14:paraId="37F5885A">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——光照：每天12 h～16</w:t>
      </w:r>
      <w:r>
        <w:rPr>
          <w:rFonts w:hint="default" w:ascii="Times New Roman" w:hAnsi="Times New Roman" w:cs="Times New Roman"/>
          <w:spacing w:val="0"/>
          <w:w w:val="100"/>
          <w:sz w:val="21"/>
          <w:szCs w:val="21"/>
          <w:lang w:val="en-US" w:eastAsia="zh-CN"/>
        </w:rPr>
        <w:t xml:space="preserve"> </w:t>
      </w:r>
      <w:r>
        <w:rPr>
          <w:rFonts w:hint="default" w:ascii="Times New Roman" w:hAnsi="Times New Roman" w:cs="Times New Roman"/>
          <w:spacing w:val="0"/>
          <w:w w:val="100"/>
          <w:sz w:val="21"/>
          <w:szCs w:val="21"/>
        </w:rPr>
        <w:t>h光照；</w:t>
      </w:r>
    </w:p>
    <w:p w14:paraId="5503C921">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——温度：与试验水产养殖动物种相适宜</w:t>
      </w:r>
    </w:p>
    <w:p w14:paraId="1E49DE08">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——溶解氧浓度：不小于80%空气饱和值；</w:t>
      </w:r>
    </w:p>
    <w:p w14:paraId="15536167">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jc w:val="left"/>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——喂养：每周3次或每天投食，至试验开始前24</w:t>
      </w:r>
      <w:r>
        <w:rPr>
          <w:rFonts w:hint="default" w:ascii="Times New Roman" w:hAnsi="Times New Roman" w:cs="Times New Roman"/>
          <w:spacing w:val="0"/>
          <w:w w:val="100"/>
          <w:sz w:val="21"/>
          <w:szCs w:val="21"/>
          <w:lang w:val="en-US" w:eastAsia="zh-CN"/>
        </w:rPr>
        <w:t xml:space="preserve"> </w:t>
      </w:r>
      <w:r>
        <w:rPr>
          <w:rFonts w:hint="default" w:ascii="Times New Roman" w:hAnsi="Times New Roman" w:cs="Times New Roman"/>
          <w:spacing w:val="0"/>
          <w:w w:val="100"/>
          <w:sz w:val="21"/>
          <w:szCs w:val="21"/>
        </w:rPr>
        <w:t>h为止。驯养开始48 h后，记录死亡率，并按下列标准处理：</w:t>
      </w:r>
    </w:p>
    <w:p w14:paraId="4E481A86">
      <w:pPr>
        <w:pStyle w:val="13"/>
        <w:keepNext w:val="0"/>
        <w:keepLines w:val="0"/>
        <w:pageBreakBefore w:val="0"/>
        <w:widowControl w:val="0"/>
        <w:tabs>
          <w:tab w:val="left" w:pos="870"/>
        </w:tabs>
        <w:kinsoku/>
        <w:wordWrap/>
        <w:overflowPunct/>
        <w:topLinePunct w:val="0"/>
        <w:autoSpaceDE/>
        <w:autoSpaceDN/>
        <w:bidi w:val="0"/>
        <w:adjustRightInd w:val="0"/>
        <w:snapToGrid/>
        <w:spacing w:after="0" w:line="276" w:lineRule="auto"/>
        <w:ind w:firstLine="420" w:firstLineChars="200"/>
        <w:jc w:val="left"/>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——7</w:t>
      </w:r>
      <w:r>
        <w:rPr>
          <w:rFonts w:hint="eastAsia" w:ascii="Times New Roman" w:hAnsi="Times New Roman" w:cs="Times New Roman"/>
          <w:spacing w:val="0"/>
          <w:w w:val="100"/>
          <w:sz w:val="21"/>
          <w:szCs w:val="21"/>
          <w:lang w:val="en-US" w:eastAsia="zh-CN"/>
        </w:rPr>
        <w:t xml:space="preserve"> </w:t>
      </w:r>
      <w:r>
        <w:rPr>
          <w:rFonts w:hint="default" w:ascii="Times New Roman" w:hAnsi="Times New Roman" w:cs="Times New Roman"/>
          <w:spacing w:val="0"/>
          <w:w w:val="100"/>
          <w:sz w:val="21"/>
          <w:szCs w:val="21"/>
        </w:rPr>
        <w:t>d内，死亡率大于10%</w:t>
      </w:r>
      <w:r>
        <w:rPr>
          <w:rFonts w:hint="eastAsia"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舍弃整批水产养殖动物；</w:t>
      </w:r>
    </w:p>
    <w:p w14:paraId="300B2592">
      <w:pPr>
        <w:pStyle w:val="13"/>
        <w:keepNext w:val="0"/>
        <w:keepLines w:val="0"/>
        <w:pageBreakBefore w:val="0"/>
        <w:widowControl w:val="0"/>
        <w:tabs>
          <w:tab w:val="left" w:pos="870"/>
        </w:tabs>
        <w:kinsoku/>
        <w:wordWrap/>
        <w:overflowPunct/>
        <w:topLinePunct w:val="0"/>
        <w:autoSpaceDE/>
        <w:autoSpaceDN/>
        <w:bidi w:val="0"/>
        <w:adjustRightInd w:val="0"/>
        <w:snapToGrid/>
        <w:spacing w:after="0" w:line="276" w:lineRule="auto"/>
        <w:ind w:firstLine="420" w:firstLineChars="200"/>
        <w:jc w:val="left"/>
        <w:textAlignment w:val="auto"/>
        <w:rPr>
          <w:rFonts w:hint="eastAsia" w:ascii="Times New Roman" w:hAnsi="Times New Roman" w:eastAsia="宋体" w:cs="Times New Roman"/>
          <w:spacing w:val="0"/>
          <w:w w:val="100"/>
          <w:sz w:val="21"/>
          <w:szCs w:val="21"/>
          <w:lang w:eastAsia="zh-CN"/>
        </w:rPr>
      </w:pPr>
      <w:r>
        <w:rPr>
          <w:rFonts w:hint="default" w:ascii="Times New Roman" w:hAnsi="Times New Roman" w:cs="Times New Roman"/>
          <w:spacing w:val="0"/>
          <w:w w:val="100"/>
          <w:sz w:val="21"/>
          <w:szCs w:val="21"/>
        </w:rPr>
        <w:t>——7 d内，死亡率在5%～10%之间，继续驯养7 d</w:t>
      </w:r>
      <w:r>
        <w:rPr>
          <w:rFonts w:hint="eastAsia" w:ascii="Times New Roman" w:hAnsi="Times New Roman" w:cs="Times New Roman"/>
          <w:spacing w:val="0"/>
          <w:w w:val="100"/>
          <w:sz w:val="21"/>
          <w:szCs w:val="21"/>
          <w:lang w:eastAsia="zh-CN"/>
        </w:rPr>
        <w:t>；</w:t>
      </w:r>
    </w:p>
    <w:p w14:paraId="79C40186">
      <w:pPr>
        <w:pStyle w:val="13"/>
        <w:keepNext w:val="0"/>
        <w:keepLines w:val="0"/>
        <w:pageBreakBefore w:val="0"/>
        <w:widowControl w:val="0"/>
        <w:tabs>
          <w:tab w:val="left" w:pos="870"/>
        </w:tabs>
        <w:kinsoku/>
        <w:wordWrap/>
        <w:overflowPunct/>
        <w:topLinePunct w:val="0"/>
        <w:autoSpaceDE/>
        <w:autoSpaceDN/>
        <w:bidi w:val="0"/>
        <w:adjustRightInd w:val="0"/>
        <w:snapToGrid/>
        <w:spacing w:after="0" w:line="276" w:lineRule="auto"/>
        <w:ind w:firstLine="420" w:firstLineChars="200"/>
        <w:jc w:val="left"/>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——7 d内，死亡率小于5%</w:t>
      </w:r>
      <w:r>
        <w:rPr>
          <w:rFonts w:hint="eastAsia"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可用于试验。</w:t>
      </w:r>
    </w:p>
    <w:p w14:paraId="3DE168AE">
      <w:pPr>
        <w:pStyle w:val="13"/>
        <w:spacing w:before="224" w:line="221" w:lineRule="auto"/>
        <w:ind w:left="3"/>
        <w:outlineLvl w:val="0"/>
        <w:rPr>
          <w:rFonts w:ascii="黑体" w:hAnsi="黑体" w:eastAsia="黑体" w:cs="黑体"/>
          <w:spacing w:val="0"/>
          <w:w w:val="100"/>
          <w:sz w:val="22"/>
          <w:szCs w:val="22"/>
        </w:rPr>
      </w:pPr>
      <w:r>
        <w:rPr>
          <w:rFonts w:hint="eastAsia" w:ascii="黑体" w:hAnsi="黑体" w:eastAsia="黑体" w:cs="黑体"/>
          <w:spacing w:val="0"/>
          <w:w w:val="100"/>
          <w:sz w:val="22"/>
          <w:szCs w:val="22"/>
          <w:lang w:val="en-US" w:eastAsia="zh-CN"/>
        </w:rPr>
        <w:t>2</w:t>
      </w:r>
      <w:r>
        <w:rPr>
          <w:rFonts w:hint="eastAsia" w:ascii="黑体" w:hAnsi="黑体" w:eastAsia="黑体" w:cs="黑体"/>
          <w:spacing w:val="0"/>
          <w:w w:val="100"/>
          <w:sz w:val="22"/>
          <w:szCs w:val="22"/>
        </w:rPr>
        <w:t>.4 试验用水</w:t>
      </w:r>
    </w:p>
    <w:p w14:paraId="5C629B25">
      <w:pPr>
        <w:pStyle w:val="13"/>
        <w:keepNext w:val="0"/>
        <w:keepLines w:val="0"/>
        <w:pageBreakBefore w:val="0"/>
        <w:widowControl w:val="0"/>
        <w:kinsoku/>
        <w:wordWrap/>
        <w:overflowPunct/>
        <w:topLinePunct w:val="0"/>
        <w:autoSpaceDE/>
        <w:autoSpaceDN/>
        <w:bidi w:val="0"/>
        <w:adjustRightInd w:val="0"/>
        <w:snapToGrid/>
        <w:spacing w:before="186" w:line="276" w:lineRule="auto"/>
        <w:ind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使用高质量的自然水或标准稀释水</w:t>
      </w:r>
      <w:r>
        <w:rPr>
          <w:rFonts w:hint="eastAsia"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也可以使用饮用水，必要时应除氯。水的总硬度</w:t>
      </w:r>
      <w:r>
        <w:rPr>
          <w:rFonts w:hint="default"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以CaCO₃计</w:t>
      </w:r>
      <w:r>
        <w:rPr>
          <w:rFonts w:hint="default"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为10</w:t>
      </w:r>
      <w:r>
        <w:rPr>
          <w:rFonts w:hint="eastAsia" w:ascii="Times New Roman" w:hAnsi="Times New Roman" w:cs="Times New Roman"/>
          <w:spacing w:val="0"/>
          <w:w w:val="100"/>
          <w:sz w:val="21"/>
          <w:szCs w:val="21"/>
          <w:lang w:val="en-US" w:eastAsia="zh-CN"/>
        </w:rPr>
        <w:t xml:space="preserve"> </w:t>
      </w:r>
      <w:r>
        <w:rPr>
          <w:rFonts w:hint="default" w:ascii="Times New Roman" w:hAnsi="Times New Roman" w:cs="Times New Roman"/>
          <w:spacing w:val="0"/>
          <w:w w:val="100"/>
          <w:sz w:val="21"/>
          <w:szCs w:val="21"/>
        </w:rPr>
        <w:t>mg/L～250</w:t>
      </w:r>
      <w:r>
        <w:rPr>
          <w:rFonts w:hint="eastAsia" w:ascii="Times New Roman" w:hAnsi="Times New Roman" w:cs="Times New Roman"/>
          <w:spacing w:val="0"/>
          <w:w w:val="100"/>
          <w:sz w:val="21"/>
          <w:szCs w:val="21"/>
          <w:lang w:val="en-US" w:eastAsia="zh-CN"/>
        </w:rPr>
        <w:t xml:space="preserve"> </w:t>
      </w:r>
      <w:r>
        <w:rPr>
          <w:rFonts w:hint="default" w:ascii="Times New Roman" w:hAnsi="Times New Roman" w:cs="Times New Roman"/>
          <w:spacing w:val="0"/>
          <w:w w:val="100"/>
          <w:sz w:val="21"/>
          <w:szCs w:val="21"/>
        </w:rPr>
        <w:t>mg/L，pH值为6.0～8.5。用于配制标准稀释水的试剂应为分析纯，去离子水或蒸馏水的电导率应小于或等于10</w:t>
      </w:r>
      <w:r>
        <w:rPr>
          <w:rFonts w:hint="eastAsia" w:ascii="Times New Roman" w:hAnsi="Times New Roman" w:cs="Times New Roman"/>
          <w:spacing w:val="0"/>
          <w:w w:val="100"/>
          <w:sz w:val="21"/>
          <w:szCs w:val="21"/>
          <w:lang w:val="en-US" w:eastAsia="zh-CN"/>
        </w:rPr>
        <w:t xml:space="preserve"> </w:t>
      </w:r>
      <w:r>
        <w:rPr>
          <w:rFonts w:hint="default" w:ascii="Times New Roman" w:hAnsi="Times New Roman" w:cs="Times New Roman"/>
          <w:spacing w:val="0"/>
          <w:w w:val="100"/>
          <w:sz w:val="21"/>
          <w:szCs w:val="21"/>
        </w:rPr>
        <w:t>μS/cm。</w:t>
      </w:r>
    </w:p>
    <w:p w14:paraId="1B47BF43">
      <w:pPr>
        <w:pStyle w:val="13"/>
        <w:spacing w:before="165" w:line="221" w:lineRule="auto"/>
        <w:ind w:left="3"/>
        <w:outlineLvl w:val="0"/>
        <w:rPr>
          <w:rFonts w:ascii="黑体" w:hAnsi="黑体" w:eastAsia="黑体" w:cs="黑体"/>
          <w:spacing w:val="0"/>
          <w:w w:val="100"/>
          <w:sz w:val="22"/>
          <w:szCs w:val="22"/>
        </w:rPr>
      </w:pPr>
      <w:r>
        <w:rPr>
          <w:rFonts w:hint="eastAsia" w:ascii="黑体" w:hAnsi="黑体" w:eastAsia="黑体" w:cs="黑体"/>
          <w:spacing w:val="0"/>
          <w:w w:val="100"/>
          <w:sz w:val="22"/>
          <w:szCs w:val="22"/>
          <w:lang w:val="en-US" w:eastAsia="zh-CN"/>
        </w:rPr>
        <w:t>2</w:t>
      </w:r>
      <w:r>
        <w:rPr>
          <w:rFonts w:hint="eastAsia" w:ascii="黑体" w:hAnsi="黑体" w:eastAsia="黑体" w:cs="黑体"/>
          <w:spacing w:val="0"/>
          <w:w w:val="100"/>
          <w:sz w:val="22"/>
          <w:szCs w:val="22"/>
        </w:rPr>
        <w:t>.5 试验溶液</w:t>
      </w:r>
    </w:p>
    <w:p w14:paraId="4C60F03E">
      <w:pPr>
        <w:pStyle w:val="13"/>
        <w:keepNext w:val="0"/>
        <w:keepLines w:val="0"/>
        <w:pageBreakBefore w:val="0"/>
        <w:widowControl w:val="0"/>
        <w:kinsoku/>
        <w:wordWrap/>
        <w:overflowPunct/>
        <w:topLinePunct w:val="0"/>
        <w:autoSpaceDE/>
        <w:autoSpaceDN/>
        <w:bidi w:val="0"/>
        <w:adjustRightInd w:val="0"/>
        <w:snapToGrid/>
        <w:spacing w:before="223" w:line="276" w:lineRule="auto"/>
        <w:ind w:right="79" w:firstLine="431"/>
        <w:textAlignment w:val="auto"/>
        <w:rPr>
          <w:rFonts w:ascii="宋体" w:hAnsi="宋体" w:cs="宋体"/>
          <w:spacing w:val="0"/>
          <w:w w:val="100"/>
          <w:sz w:val="21"/>
          <w:szCs w:val="21"/>
        </w:rPr>
      </w:pPr>
      <w:r>
        <w:rPr>
          <w:rFonts w:hint="default" w:ascii="Times New Roman" w:hAnsi="Times New Roman" w:cs="Times New Roman"/>
          <w:spacing w:val="0"/>
          <w:w w:val="100"/>
          <w:sz w:val="21"/>
          <w:szCs w:val="21"/>
        </w:rPr>
        <w:t>通过稀释贮备液配制试验溶液。低水溶性物质的贮备液可以通过超声分散或其他适合的物理方法配制，必要时可使用对水产养殖动物毒性低的有机溶剂、乳化剂或分散剂来助溶。使用这些物质时应加设助溶剂对照试验，对照组助溶剂浓度应为试验组使用助溶剂的最高浓度，并且不得超过100 mg/L，不需调节试验溶液的pH值。如果加入受试物后试验溶液的pH值有明显变化，建议重新配制，调节受试物贮备液的pH值，使其接近加入受试物前稀释水的pH值。用于调节pH值的物质不应使贮备液的浓度明显改变，也不应与受试物发生化学反应或产生沉淀。最好使用HCl和NaOH来调节。</w:t>
      </w:r>
    </w:p>
    <w:p w14:paraId="26020590">
      <w:pPr>
        <w:pStyle w:val="13"/>
        <w:spacing w:before="72" w:line="221" w:lineRule="auto"/>
        <w:ind w:left="3"/>
        <w:outlineLvl w:val="0"/>
        <w:rPr>
          <w:rFonts w:ascii="宋体" w:hAnsi="宋体" w:cs="宋体"/>
          <w:spacing w:val="0"/>
          <w:w w:val="100"/>
        </w:rPr>
      </w:pPr>
      <w:r>
        <w:rPr>
          <w:rFonts w:hint="eastAsia" w:ascii="黑体" w:hAnsi="黑体" w:eastAsia="黑体" w:cs="黑体"/>
          <w:spacing w:val="0"/>
          <w:w w:val="100"/>
          <w:sz w:val="22"/>
          <w:szCs w:val="22"/>
          <w:lang w:val="en-US" w:eastAsia="zh-CN"/>
        </w:rPr>
        <w:t>3</w:t>
      </w:r>
      <w:r>
        <w:rPr>
          <w:rFonts w:hint="eastAsia" w:ascii="黑体" w:hAnsi="黑体" w:eastAsia="黑体" w:cs="黑体"/>
          <w:spacing w:val="0"/>
          <w:w w:val="100"/>
          <w:sz w:val="22"/>
          <w:szCs w:val="22"/>
        </w:rPr>
        <w:t xml:space="preserve"> 试验</w:t>
      </w:r>
    </w:p>
    <w:p w14:paraId="34825B7B">
      <w:pPr>
        <w:pStyle w:val="13"/>
        <w:spacing w:before="72" w:line="223" w:lineRule="auto"/>
        <w:ind w:left="3"/>
        <w:outlineLvl w:val="0"/>
        <w:rPr>
          <w:rFonts w:ascii="黑体" w:hAnsi="黑体" w:eastAsia="黑体" w:cs="黑体"/>
          <w:spacing w:val="0"/>
          <w:w w:val="100"/>
          <w:sz w:val="22"/>
          <w:szCs w:val="22"/>
        </w:rPr>
      </w:pPr>
      <w:r>
        <w:rPr>
          <w:rFonts w:hint="eastAsia" w:ascii="黑体" w:hAnsi="黑体" w:eastAsia="黑体" w:cs="黑体"/>
          <w:spacing w:val="0"/>
          <w:w w:val="100"/>
          <w:sz w:val="22"/>
          <w:szCs w:val="22"/>
          <w:lang w:val="en-US" w:eastAsia="zh-CN"/>
        </w:rPr>
        <w:t>3</w:t>
      </w:r>
      <w:r>
        <w:rPr>
          <w:rFonts w:hint="eastAsia" w:ascii="黑体" w:hAnsi="黑体" w:eastAsia="黑体" w:cs="黑体"/>
          <w:spacing w:val="0"/>
          <w:w w:val="100"/>
          <w:sz w:val="22"/>
          <w:szCs w:val="22"/>
        </w:rPr>
        <w:t>.1 暴露条件</w:t>
      </w:r>
    </w:p>
    <w:p w14:paraId="7B1C520F">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2"/>
          <w:szCs w:val="22"/>
        </w:rPr>
      </w:pPr>
      <w:r>
        <w:rPr>
          <w:rFonts w:hint="default" w:ascii="Times New Roman" w:hAnsi="Times New Roman" w:cs="Times New Roman"/>
          <w:spacing w:val="0"/>
          <w:w w:val="100"/>
          <w:sz w:val="22"/>
          <w:szCs w:val="22"/>
        </w:rPr>
        <w:t>暴露条件包括：</w:t>
      </w:r>
    </w:p>
    <w:p w14:paraId="2C7A713D">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2"/>
          <w:szCs w:val="22"/>
        </w:rPr>
      </w:pPr>
      <w:r>
        <w:rPr>
          <w:rFonts w:hint="default" w:ascii="Times New Roman" w:hAnsi="Times New Roman" w:cs="Times New Roman"/>
          <w:spacing w:val="0"/>
          <w:w w:val="100"/>
          <w:sz w:val="22"/>
          <w:szCs w:val="22"/>
        </w:rPr>
        <w:t>——持续时间：96 h；</w:t>
      </w:r>
    </w:p>
    <w:p w14:paraId="0C7C3192">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2"/>
          <w:szCs w:val="22"/>
        </w:rPr>
      </w:pPr>
      <w:r>
        <w:rPr>
          <w:rFonts w:hint="default" w:ascii="Times New Roman" w:hAnsi="Times New Roman" w:cs="Times New Roman"/>
          <w:spacing w:val="0"/>
          <w:w w:val="100"/>
          <w:sz w:val="22"/>
          <w:szCs w:val="22"/>
        </w:rPr>
        <w:t>——承载量：静态和半静态试验系统试验水产养殖动物的最大承载量为1.0 g/L</w:t>
      </w:r>
      <w:r>
        <w:rPr>
          <w:rFonts w:hint="default" w:ascii="Times New Roman" w:hAnsi="Times New Roman" w:cs="Times New Roman"/>
          <w:spacing w:val="0"/>
          <w:w w:val="100"/>
          <w:sz w:val="22"/>
          <w:szCs w:val="22"/>
          <w:lang w:eastAsia="zh-CN"/>
        </w:rPr>
        <w:t>，</w:t>
      </w:r>
      <w:r>
        <w:rPr>
          <w:rFonts w:hint="default" w:ascii="Times New Roman" w:hAnsi="Times New Roman" w:cs="Times New Roman"/>
          <w:spacing w:val="0"/>
          <w:w w:val="100"/>
          <w:sz w:val="22"/>
          <w:szCs w:val="22"/>
        </w:rPr>
        <w:t>流水式试验系统承载量可高一些；</w:t>
      </w:r>
    </w:p>
    <w:p w14:paraId="65B52970">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eastAsia" w:ascii="Times New Roman" w:hAnsi="Times New Roman" w:eastAsia="宋体" w:cs="Times New Roman"/>
          <w:spacing w:val="0"/>
          <w:w w:val="100"/>
          <w:sz w:val="22"/>
          <w:szCs w:val="22"/>
          <w:lang w:eastAsia="zh-CN"/>
        </w:rPr>
      </w:pPr>
      <w:r>
        <w:rPr>
          <w:rFonts w:hint="default" w:ascii="Times New Roman" w:hAnsi="Times New Roman" w:cs="Times New Roman"/>
          <w:spacing w:val="0"/>
          <w:w w:val="100"/>
          <w:sz w:val="22"/>
          <w:szCs w:val="22"/>
        </w:rPr>
        <w:t>——光照：每天12 h～16 h</w:t>
      </w:r>
      <w:r>
        <w:rPr>
          <w:rFonts w:hint="eastAsia" w:ascii="Times New Roman" w:hAnsi="Times New Roman" w:cs="Times New Roman"/>
          <w:spacing w:val="0"/>
          <w:w w:val="100"/>
          <w:sz w:val="22"/>
          <w:szCs w:val="22"/>
          <w:lang w:eastAsia="zh-CN"/>
        </w:rPr>
        <w:t>；</w:t>
      </w:r>
    </w:p>
    <w:p w14:paraId="68F17454">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2"/>
          <w:szCs w:val="22"/>
        </w:rPr>
      </w:pPr>
      <w:r>
        <w:rPr>
          <w:rFonts w:hint="default" w:ascii="Times New Roman" w:hAnsi="Times New Roman" w:cs="Times New Roman"/>
          <w:spacing w:val="0"/>
          <w:w w:val="100"/>
          <w:sz w:val="22"/>
          <w:szCs w:val="22"/>
        </w:rPr>
        <w:t>——温度：与试验水产养殖动物种相适宜</w:t>
      </w:r>
      <w:r>
        <w:rPr>
          <w:rFonts w:hint="eastAsia" w:ascii="Times New Roman" w:hAnsi="Times New Roman" w:cs="Times New Roman"/>
          <w:spacing w:val="0"/>
          <w:w w:val="100"/>
          <w:sz w:val="22"/>
          <w:szCs w:val="22"/>
          <w:lang w:eastAsia="zh-CN"/>
        </w:rPr>
        <w:t>，</w:t>
      </w:r>
      <w:r>
        <w:rPr>
          <w:rFonts w:hint="default" w:ascii="Times New Roman" w:hAnsi="Times New Roman" w:cs="Times New Roman"/>
          <w:spacing w:val="0"/>
          <w:w w:val="100"/>
          <w:sz w:val="22"/>
          <w:szCs w:val="22"/>
        </w:rPr>
        <w:t>保持恒定，变化范围</w:t>
      </w:r>
      <w:r>
        <w:rPr>
          <w:rFonts w:hint="default" w:ascii="Times New Roman" w:hAnsi="Times New Roman" w:eastAsia="宋体" w:cs="Times New Roman"/>
          <w:spacing w:val="0"/>
          <w:w w:val="100"/>
          <w:sz w:val="22"/>
          <w:szCs w:val="22"/>
        </w:rPr>
        <w:t>±</w:t>
      </w:r>
      <w:r>
        <w:rPr>
          <w:rFonts w:hint="eastAsia" w:ascii="Times New Roman" w:hAnsi="Times New Roman" w:cs="Times New Roman"/>
          <w:spacing w:val="0"/>
          <w:w w:val="100"/>
          <w:sz w:val="22"/>
          <w:szCs w:val="22"/>
          <w:lang w:val="en-US" w:eastAsia="zh-CN"/>
        </w:rPr>
        <w:t xml:space="preserve"> </w:t>
      </w:r>
      <w:r>
        <w:rPr>
          <w:rFonts w:hint="default" w:ascii="Times New Roman" w:hAnsi="Times New Roman" w:cs="Times New Roman"/>
          <w:spacing w:val="0"/>
          <w:w w:val="100"/>
          <w:sz w:val="22"/>
          <w:szCs w:val="22"/>
        </w:rPr>
        <w:t>2</w:t>
      </w:r>
      <w:r>
        <w:rPr>
          <w:rFonts w:hint="eastAsia" w:ascii="Times New Roman" w:hAnsi="Times New Roman" w:cs="Times New Roman"/>
          <w:spacing w:val="0"/>
          <w:w w:val="100"/>
          <w:sz w:val="22"/>
          <w:szCs w:val="22"/>
          <w:lang w:val="en-US" w:eastAsia="zh-CN"/>
        </w:rPr>
        <w:t xml:space="preserve"> </w:t>
      </w:r>
      <w:r>
        <w:rPr>
          <w:rFonts w:hint="default" w:ascii="Times New Roman" w:hAnsi="Times New Roman" w:cs="Times New Roman"/>
          <w:spacing w:val="0"/>
          <w:w w:val="100"/>
          <w:sz w:val="22"/>
          <w:szCs w:val="22"/>
        </w:rPr>
        <w:t>℃</w:t>
      </w:r>
      <w:r>
        <w:rPr>
          <w:rFonts w:hint="eastAsia" w:ascii="Times New Roman" w:hAnsi="Times New Roman" w:cs="Times New Roman"/>
          <w:spacing w:val="0"/>
          <w:w w:val="100"/>
          <w:sz w:val="22"/>
          <w:szCs w:val="22"/>
          <w:lang w:eastAsia="zh-CN"/>
        </w:rPr>
        <w:t>；</w:t>
      </w:r>
    </w:p>
    <w:p w14:paraId="06C57879">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2"/>
          <w:szCs w:val="22"/>
        </w:rPr>
      </w:pPr>
      <w:r>
        <w:rPr>
          <w:rFonts w:hint="default" w:ascii="Times New Roman" w:hAnsi="Times New Roman" w:cs="Times New Roman"/>
          <w:spacing w:val="0"/>
          <w:w w:val="100"/>
          <w:sz w:val="22"/>
          <w:szCs w:val="22"/>
        </w:rPr>
        <w:t>——溶解氧：不小于60%空气饱和值，若不会导致受试物明显损失时可进行曝气；</w:t>
      </w:r>
    </w:p>
    <w:p w14:paraId="772F0001">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2"/>
          <w:szCs w:val="22"/>
        </w:rPr>
      </w:pPr>
      <w:r>
        <w:rPr>
          <w:rFonts w:hint="default" w:ascii="Times New Roman" w:hAnsi="Times New Roman" w:cs="Times New Roman"/>
          <w:spacing w:val="0"/>
          <w:w w:val="100"/>
          <w:sz w:val="22"/>
          <w:szCs w:val="22"/>
        </w:rPr>
        <w:t>——喂食：不进行；</w:t>
      </w:r>
    </w:p>
    <w:p w14:paraId="04E4BF56">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ascii="宋体" w:hAnsi="宋体" w:cs="宋体"/>
          <w:spacing w:val="0"/>
          <w:w w:val="100"/>
          <w:sz w:val="22"/>
          <w:szCs w:val="22"/>
        </w:rPr>
      </w:pPr>
      <w:r>
        <w:rPr>
          <w:rFonts w:hint="default" w:ascii="Times New Roman" w:hAnsi="Times New Roman" w:cs="Times New Roman"/>
          <w:spacing w:val="0"/>
          <w:w w:val="100"/>
          <w:sz w:val="22"/>
          <w:szCs w:val="22"/>
        </w:rPr>
        <w:t>——干扰：避免可能改变水产养殖动物行为的干扰。</w:t>
      </w:r>
    </w:p>
    <w:p w14:paraId="14CFBF84">
      <w:pPr>
        <w:pStyle w:val="13"/>
        <w:spacing w:before="256" w:line="221" w:lineRule="auto"/>
        <w:ind w:left="3"/>
        <w:outlineLvl w:val="0"/>
        <w:rPr>
          <w:rFonts w:ascii="黑体" w:hAnsi="黑体" w:eastAsia="黑体" w:cs="黑体"/>
          <w:spacing w:val="0"/>
          <w:w w:val="100"/>
          <w:sz w:val="22"/>
          <w:szCs w:val="22"/>
        </w:rPr>
      </w:pPr>
      <w:r>
        <w:rPr>
          <w:rFonts w:hint="eastAsia" w:ascii="黑体" w:hAnsi="黑体" w:eastAsia="黑体" w:cs="黑体"/>
          <w:spacing w:val="0"/>
          <w:w w:val="100"/>
          <w:sz w:val="22"/>
          <w:szCs w:val="22"/>
          <w:lang w:val="en-US" w:eastAsia="zh-CN"/>
        </w:rPr>
        <w:t>3</w:t>
      </w:r>
      <w:r>
        <w:rPr>
          <w:rFonts w:hint="eastAsia" w:ascii="黑体" w:hAnsi="黑体" w:eastAsia="黑体" w:cs="黑体"/>
          <w:spacing w:val="0"/>
          <w:w w:val="100"/>
          <w:sz w:val="22"/>
          <w:szCs w:val="22"/>
        </w:rPr>
        <w:t>.2 试验水产养殖动物数量</w:t>
      </w:r>
    </w:p>
    <w:p w14:paraId="2A543173">
      <w:pPr>
        <w:pStyle w:val="13"/>
        <w:spacing w:before="252" w:line="219" w:lineRule="auto"/>
        <w:ind w:left="440"/>
        <w:rPr>
          <w:rFonts w:hint="default" w:ascii="Times New Roman" w:hAnsi="Times New Roman" w:cs="Times New Roman"/>
          <w:spacing w:val="0"/>
          <w:w w:val="100"/>
          <w:sz w:val="22"/>
          <w:szCs w:val="22"/>
        </w:rPr>
      </w:pPr>
      <w:r>
        <w:rPr>
          <w:rFonts w:hint="default" w:ascii="Times New Roman" w:hAnsi="Times New Roman" w:cs="Times New Roman"/>
          <w:spacing w:val="0"/>
          <w:w w:val="100"/>
          <w:sz w:val="22"/>
          <w:szCs w:val="22"/>
        </w:rPr>
        <w:t>空白对照组与各试验浓度组应每组至少7尾水产养殖动物。</w:t>
      </w:r>
    </w:p>
    <w:p w14:paraId="0C7B9408">
      <w:pPr>
        <w:pStyle w:val="13"/>
        <w:spacing w:before="223" w:line="221" w:lineRule="auto"/>
        <w:ind w:left="3"/>
        <w:outlineLvl w:val="0"/>
        <w:rPr>
          <w:rFonts w:ascii="黑体" w:hAnsi="黑体" w:eastAsia="黑体" w:cs="黑体"/>
          <w:spacing w:val="0"/>
          <w:w w:val="100"/>
          <w:sz w:val="22"/>
          <w:szCs w:val="22"/>
        </w:rPr>
      </w:pPr>
      <w:r>
        <w:rPr>
          <w:rFonts w:hint="eastAsia" w:ascii="黑体" w:hAnsi="黑体" w:eastAsia="黑体" w:cs="黑体"/>
          <w:spacing w:val="0"/>
          <w:w w:val="100"/>
          <w:sz w:val="22"/>
          <w:szCs w:val="22"/>
          <w:lang w:val="en-US" w:eastAsia="zh-CN"/>
        </w:rPr>
        <w:t>3</w:t>
      </w:r>
      <w:r>
        <w:rPr>
          <w:rFonts w:hint="eastAsia" w:ascii="黑体" w:hAnsi="黑体" w:eastAsia="黑体" w:cs="黑体"/>
          <w:spacing w:val="0"/>
          <w:w w:val="100"/>
          <w:sz w:val="22"/>
          <w:szCs w:val="22"/>
        </w:rPr>
        <w:t>.3 试验浓度设置</w:t>
      </w:r>
    </w:p>
    <w:p w14:paraId="697DF02C">
      <w:pPr>
        <w:pStyle w:val="13"/>
        <w:keepNext w:val="0"/>
        <w:keepLines w:val="0"/>
        <w:pageBreakBefore w:val="0"/>
        <w:widowControl w:val="0"/>
        <w:kinsoku/>
        <w:wordWrap/>
        <w:overflowPunct/>
        <w:topLinePunct w:val="0"/>
        <w:autoSpaceDE/>
        <w:autoSpaceDN/>
        <w:bidi w:val="0"/>
        <w:adjustRightInd w:val="0"/>
        <w:snapToGrid/>
        <w:spacing w:before="261" w:line="276" w:lineRule="auto"/>
        <w:ind w:right="96" w:firstLine="442"/>
        <w:textAlignment w:val="auto"/>
        <w:rPr>
          <w:rFonts w:hint="default" w:ascii="Times New Roman" w:hAnsi="Times New Roman" w:cs="Times New Roman"/>
          <w:spacing w:val="0"/>
          <w:w w:val="100"/>
          <w:sz w:val="22"/>
          <w:szCs w:val="22"/>
        </w:rPr>
      </w:pPr>
      <w:r>
        <w:rPr>
          <w:rFonts w:hint="default" w:ascii="Times New Roman" w:hAnsi="Times New Roman" w:cs="Times New Roman"/>
          <w:spacing w:val="0"/>
          <w:w w:val="100"/>
          <w:sz w:val="22"/>
          <w:szCs w:val="22"/>
        </w:rPr>
        <w:t>根据预试验结果来选择正式试验合适的浓度范围，至少应设置5个浓度组，并以几何级数排布，公比应不大于2.2。</w:t>
      </w:r>
    </w:p>
    <w:p w14:paraId="7FE15E25">
      <w:pPr>
        <w:pStyle w:val="13"/>
        <w:spacing w:before="174" w:line="221" w:lineRule="auto"/>
        <w:ind w:left="3"/>
        <w:outlineLvl w:val="0"/>
        <w:rPr>
          <w:rFonts w:ascii="黑体" w:hAnsi="黑体" w:eastAsia="黑体" w:cs="黑体"/>
          <w:spacing w:val="0"/>
          <w:w w:val="100"/>
          <w:sz w:val="22"/>
          <w:szCs w:val="22"/>
        </w:rPr>
      </w:pPr>
      <w:r>
        <w:rPr>
          <w:rFonts w:hint="eastAsia" w:ascii="黑体" w:hAnsi="黑体" w:eastAsia="黑体" w:cs="黑体"/>
          <w:spacing w:val="0"/>
          <w:w w:val="100"/>
          <w:sz w:val="22"/>
          <w:szCs w:val="22"/>
          <w:lang w:val="en-US" w:eastAsia="zh-CN"/>
        </w:rPr>
        <w:t>3</w:t>
      </w:r>
      <w:r>
        <w:rPr>
          <w:rFonts w:hint="eastAsia" w:ascii="黑体" w:hAnsi="黑体" w:eastAsia="黑体" w:cs="黑体"/>
          <w:spacing w:val="0"/>
          <w:w w:val="100"/>
          <w:sz w:val="22"/>
          <w:szCs w:val="22"/>
        </w:rPr>
        <w:t>.4 试验对照组设置</w:t>
      </w:r>
    </w:p>
    <w:p w14:paraId="4549346F">
      <w:pPr>
        <w:pStyle w:val="13"/>
        <w:spacing w:before="270" w:line="219" w:lineRule="auto"/>
        <w:ind w:left="440"/>
        <w:rPr>
          <w:rFonts w:ascii="宋体" w:hAnsi="宋体" w:cs="宋体"/>
          <w:spacing w:val="0"/>
          <w:w w:val="100"/>
          <w:sz w:val="22"/>
          <w:szCs w:val="22"/>
        </w:rPr>
      </w:pPr>
      <w:r>
        <w:rPr>
          <w:rFonts w:hint="eastAsia" w:ascii="宋体" w:hAnsi="宋体" w:cs="宋体"/>
          <w:spacing w:val="0"/>
          <w:w w:val="100"/>
          <w:sz w:val="22"/>
          <w:szCs w:val="22"/>
        </w:rPr>
        <w:t>每一系列设一个空白对照。如使用了助溶剂，应增设一个助溶剂对照。</w:t>
      </w:r>
    </w:p>
    <w:p w14:paraId="661EBC22">
      <w:pPr>
        <w:pStyle w:val="13"/>
        <w:spacing w:before="236" w:line="222" w:lineRule="auto"/>
        <w:ind w:left="3"/>
        <w:outlineLvl w:val="0"/>
        <w:rPr>
          <w:rFonts w:ascii="黑体" w:hAnsi="黑体" w:eastAsia="黑体" w:cs="黑体"/>
          <w:spacing w:val="0"/>
          <w:w w:val="100"/>
          <w:sz w:val="22"/>
          <w:szCs w:val="22"/>
        </w:rPr>
      </w:pPr>
      <w:r>
        <w:rPr>
          <w:rFonts w:hint="eastAsia" w:ascii="黑体" w:hAnsi="黑体" w:eastAsia="黑体" w:cs="黑体"/>
          <w:spacing w:val="0"/>
          <w:w w:val="100"/>
          <w:sz w:val="22"/>
          <w:szCs w:val="22"/>
          <w:lang w:val="en-US" w:eastAsia="zh-CN"/>
        </w:rPr>
        <w:t>3</w:t>
      </w:r>
      <w:r>
        <w:rPr>
          <w:rFonts w:hint="eastAsia" w:ascii="黑体" w:hAnsi="黑体" w:eastAsia="黑体" w:cs="黑体"/>
          <w:spacing w:val="0"/>
          <w:w w:val="100"/>
          <w:sz w:val="22"/>
          <w:szCs w:val="22"/>
        </w:rPr>
        <w:t>.5 观察</w:t>
      </w:r>
    </w:p>
    <w:p w14:paraId="6D4B6668">
      <w:pPr>
        <w:pStyle w:val="13"/>
        <w:keepNext w:val="0"/>
        <w:keepLines w:val="0"/>
        <w:pageBreakBefore w:val="0"/>
        <w:widowControl w:val="0"/>
        <w:kinsoku/>
        <w:wordWrap/>
        <w:overflowPunct/>
        <w:topLinePunct w:val="0"/>
        <w:autoSpaceDE/>
        <w:autoSpaceDN/>
        <w:bidi w:val="0"/>
        <w:adjustRightInd w:val="0"/>
        <w:snapToGrid/>
        <w:spacing w:after="0" w:line="276" w:lineRule="auto"/>
        <w:ind w:right="79" w:firstLine="431"/>
        <w:textAlignment w:val="auto"/>
        <w:rPr>
          <w:rFonts w:hint="default" w:ascii="Times New Roman" w:hAnsi="Times New Roman" w:cs="Times New Roman"/>
          <w:spacing w:val="0"/>
          <w:w w:val="100"/>
          <w:sz w:val="22"/>
          <w:szCs w:val="22"/>
        </w:rPr>
      </w:pPr>
      <w:r>
        <w:rPr>
          <w:rFonts w:hint="default" w:ascii="Times New Roman" w:hAnsi="Times New Roman" w:cs="Times New Roman"/>
          <w:spacing w:val="0"/>
          <w:w w:val="100"/>
          <w:sz w:val="22"/>
          <w:szCs w:val="22"/>
        </w:rPr>
        <w:t>至少在24</w:t>
      </w:r>
      <w:r>
        <w:rPr>
          <w:rFonts w:hint="eastAsia" w:ascii="Times New Roman" w:hAnsi="Times New Roman" w:cs="Times New Roman"/>
          <w:spacing w:val="0"/>
          <w:w w:val="100"/>
          <w:sz w:val="22"/>
          <w:szCs w:val="22"/>
          <w:lang w:val="en-US" w:eastAsia="zh-CN"/>
        </w:rPr>
        <w:t xml:space="preserve"> </w:t>
      </w:r>
      <w:r>
        <w:rPr>
          <w:rFonts w:hint="default" w:ascii="Times New Roman" w:hAnsi="Times New Roman" w:cs="Times New Roman"/>
          <w:spacing w:val="0"/>
          <w:w w:val="100"/>
          <w:sz w:val="22"/>
          <w:szCs w:val="22"/>
        </w:rPr>
        <w:t>h、48</w:t>
      </w:r>
      <w:r>
        <w:rPr>
          <w:rFonts w:hint="eastAsia" w:ascii="Times New Roman" w:hAnsi="Times New Roman" w:cs="Times New Roman"/>
          <w:spacing w:val="0"/>
          <w:w w:val="100"/>
          <w:sz w:val="22"/>
          <w:szCs w:val="22"/>
          <w:lang w:val="en-US" w:eastAsia="zh-CN"/>
        </w:rPr>
        <w:t xml:space="preserve"> </w:t>
      </w:r>
      <w:r>
        <w:rPr>
          <w:rFonts w:hint="default" w:ascii="Times New Roman" w:hAnsi="Times New Roman" w:cs="Times New Roman"/>
          <w:spacing w:val="0"/>
          <w:w w:val="100"/>
          <w:sz w:val="22"/>
          <w:szCs w:val="22"/>
        </w:rPr>
        <w:t>h、72</w:t>
      </w:r>
      <w:r>
        <w:rPr>
          <w:rFonts w:hint="eastAsia" w:ascii="Times New Roman" w:hAnsi="Times New Roman" w:cs="Times New Roman"/>
          <w:spacing w:val="0"/>
          <w:w w:val="100"/>
          <w:sz w:val="22"/>
          <w:szCs w:val="22"/>
          <w:lang w:val="en-US" w:eastAsia="zh-CN"/>
        </w:rPr>
        <w:t xml:space="preserve"> </w:t>
      </w:r>
      <w:r>
        <w:rPr>
          <w:rFonts w:hint="default" w:ascii="Times New Roman" w:hAnsi="Times New Roman" w:cs="Times New Roman"/>
          <w:spacing w:val="0"/>
          <w:w w:val="100"/>
          <w:sz w:val="22"/>
          <w:szCs w:val="22"/>
        </w:rPr>
        <w:t>h和96</w:t>
      </w:r>
      <w:r>
        <w:rPr>
          <w:rFonts w:hint="eastAsia" w:ascii="Times New Roman" w:hAnsi="Times New Roman" w:cs="Times New Roman"/>
          <w:spacing w:val="0"/>
          <w:w w:val="100"/>
          <w:sz w:val="22"/>
          <w:szCs w:val="22"/>
          <w:lang w:val="en-US" w:eastAsia="zh-CN"/>
        </w:rPr>
        <w:t xml:space="preserve"> </w:t>
      </w:r>
      <w:r>
        <w:rPr>
          <w:rFonts w:hint="default" w:ascii="Times New Roman" w:hAnsi="Times New Roman" w:cs="Times New Roman"/>
          <w:spacing w:val="0"/>
          <w:w w:val="100"/>
          <w:sz w:val="22"/>
          <w:szCs w:val="22"/>
        </w:rPr>
        <w:t>h后检查试验水产养殖动物的状况。如果试验水产养殖动物没有任何肉眼可见的运动，如鳃的扇动，以及碰触尾部后无反应，即可判断该水产养殖动物已死亡。观察并记录死水产养殖动物数目后，将死水产养殖动物从容器中移去。最好在试验开始后3h及6h时观察各试验组水产养殖动物的状况。记录可见的试验水产养殖动物异常情况</w:t>
      </w:r>
      <w:r>
        <w:rPr>
          <w:rFonts w:hint="eastAsia" w:ascii="Times New Roman" w:hAnsi="Times New Roman" w:cs="Times New Roman"/>
          <w:spacing w:val="0"/>
          <w:w w:val="100"/>
          <w:sz w:val="22"/>
          <w:szCs w:val="22"/>
          <w:lang w:eastAsia="zh-CN"/>
        </w:rPr>
        <w:t>（</w:t>
      </w:r>
      <w:r>
        <w:rPr>
          <w:rFonts w:hint="default" w:ascii="Times New Roman" w:hAnsi="Times New Roman" w:cs="Times New Roman"/>
          <w:spacing w:val="0"/>
          <w:w w:val="100"/>
          <w:sz w:val="22"/>
          <w:szCs w:val="22"/>
        </w:rPr>
        <w:t>如平衡能力丧失，游泳能力和呼吸功能减弱，颜色变浅等</w:t>
      </w:r>
      <w:r>
        <w:rPr>
          <w:rFonts w:hint="eastAsia" w:ascii="Times New Roman" w:hAnsi="Times New Roman" w:cs="Times New Roman"/>
          <w:spacing w:val="0"/>
          <w:w w:val="100"/>
          <w:sz w:val="22"/>
          <w:szCs w:val="22"/>
          <w:lang w:eastAsia="zh-CN"/>
        </w:rPr>
        <w:t>）</w:t>
      </w:r>
      <w:r>
        <w:rPr>
          <w:rFonts w:hint="default" w:ascii="Times New Roman" w:hAnsi="Times New Roman" w:cs="Times New Roman"/>
          <w:spacing w:val="0"/>
          <w:w w:val="100"/>
          <w:sz w:val="22"/>
          <w:szCs w:val="22"/>
        </w:rPr>
        <w:t>。</w:t>
      </w:r>
    </w:p>
    <w:p w14:paraId="7E9A7FAD">
      <w:pPr>
        <w:pStyle w:val="13"/>
        <w:keepNext w:val="0"/>
        <w:keepLines w:val="0"/>
        <w:pageBreakBefore w:val="0"/>
        <w:widowControl w:val="0"/>
        <w:kinsoku/>
        <w:wordWrap/>
        <w:overflowPunct/>
        <w:topLinePunct w:val="0"/>
        <w:autoSpaceDE/>
        <w:autoSpaceDN/>
        <w:bidi w:val="0"/>
        <w:adjustRightInd w:val="0"/>
        <w:snapToGrid/>
        <w:spacing w:after="0" w:line="276" w:lineRule="auto"/>
        <w:ind w:right="79" w:firstLine="431"/>
        <w:textAlignment w:val="auto"/>
        <w:rPr>
          <w:rFonts w:hint="default" w:ascii="Times New Roman" w:hAnsi="Times New Roman" w:cs="Times New Roman"/>
          <w:spacing w:val="0"/>
          <w:w w:val="100"/>
          <w:sz w:val="22"/>
          <w:szCs w:val="22"/>
        </w:rPr>
      </w:pPr>
      <w:r>
        <w:rPr>
          <w:rFonts w:hint="default" w:ascii="Times New Roman" w:hAnsi="Times New Roman" w:cs="Times New Roman"/>
          <w:spacing w:val="0"/>
          <w:w w:val="100"/>
          <w:sz w:val="22"/>
          <w:szCs w:val="22"/>
        </w:rPr>
        <w:t>每天至少测定一次pH值、溶解氧和温度。</w:t>
      </w:r>
    </w:p>
    <w:p w14:paraId="7095C1C6">
      <w:pPr>
        <w:pStyle w:val="13"/>
        <w:spacing w:before="257" w:line="221" w:lineRule="auto"/>
        <w:ind w:left="3"/>
        <w:outlineLvl w:val="0"/>
        <w:rPr>
          <w:rFonts w:ascii="黑体" w:hAnsi="黑体" w:eastAsia="黑体" w:cs="黑体"/>
          <w:spacing w:val="0"/>
          <w:w w:val="100"/>
          <w:sz w:val="22"/>
          <w:szCs w:val="22"/>
        </w:rPr>
      </w:pPr>
      <w:r>
        <w:rPr>
          <w:rFonts w:hint="eastAsia" w:ascii="黑体" w:hAnsi="黑体" w:eastAsia="黑体" w:cs="黑体"/>
          <w:spacing w:val="0"/>
          <w:w w:val="100"/>
          <w:sz w:val="22"/>
          <w:szCs w:val="22"/>
          <w:lang w:val="en-US" w:eastAsia="zh-CN"/>
        </w:rPr>
        <w:t>3</w:t>
      </w:r>
      <w:r>
        <w:rPr>
          <w:rFonts w:hint="eastAsia" w:ascii="黑体" w:hAnsi="黑体" w:eastAsia="黑体" w:cs="黑体"/>
          <w:spacing w:val="0"/>
          <w:w w:val="100"/>
          <w:sz w:val="22"/>
          <w:szCs w:val="22"/>
        </w:rPr>
        <w:t>.6 限度试验</w:t>
      </w:r>
    </w:p>
    <w:p w14:paraId="350E89CF">
      <w:pPr>
        <w:pStyle w:val="13"/>
        <w:keepNext w:val="0"/>
        <w:keepLines w:val="0"/>
        <w:pageBreakBefore w:val="0"/>
        <w:widowControl w:val="0"/>
        <w:kinsoku/>
        <w:wordWrap/>
        <w:overflowPunct/>
        <w:topLinePunct w:val="0"/>
        <w:autoSpaceDE/>
        <w:autoSpaceDN/>
        <w:bidi w:val="0"/>
        <w:adjustRightInd w:val="0"/>
        <w:snapToGrid/>
        <w:spacing w:after="0" w:line="276" w:lineRule="auto"/>
        <w:ind w:right="68" w:firstLine="442"/>
        <w:textAlignment w:val="auto"/>
        <w:rPr>
          <w:rFonts w:hint="default" w:ascii="Times New Roman" w:hAnsi="Times New Roman" w:cs="Times New Roman"/>
          <w:spacing w:val="0"/>
          <w:w w:val="100"/>
          <w:sz w:val="22"/>
          <w:szCs w:val="22"/>
        </w:rPr>
      </w:pPr>
      <w:r>
        <w:rPr>
          <w:rFonts w:hint="default" w:ascii="Times New Roman" w:hAnsi="Times New Roman" w:cs="Times New Roman"/>
          <w:spacing w:val="0"/>
          <w:w w:val="100"/>
          <w:sz w:val="22"/>
          <w:szCs w:val="22"/>
        </w:rPr>
        <w:t>应用本标准时，为证明LC</w:t>
      </w:r>
      <w:r>
        <w:rPr>
          <w:rFonts w:hint="default" w:ascii="Times New Roman" w:hAnsi="Times New Roman" w:cs="Times New Roman"/>
          <w:spacing w:val="0"/>
          <w:w w:val="100"/>
          <w:sz w:val="22"/>
          <w:szCs w:val="22"/>
          <w:vertAlign w:val="subscript"/>
        </w:rPr>
        <w:t>50</w:t>
      </w:r>
      <w:r>
        <w:rPr>
          <w:rFonts w:hint="eastAsia" w:ascii="Times New Roman" w:hAnsi="Times New Roman" w:cs="Times New Roman"/>
          <w:spacing w:val="0"/>
          <w:w w:val="100"/>
          <w:sz w:val="22"/>
          <w:szCs w:val="22"/>
          <w:vertAlign w:val="subscript"/>
          <w:lang w:val="en-US" w:eastAsia="zh-CN"/>
        </w:rPr>
        <w:t xml:space="preserve"> </w:t>
      </w:r>
      <w:r>
        <w:rPr>
          <w:rFonts w:hint="default" w:ascii="Times New Roman" w:hAnsi="Times New Roman" w:cs="Times New Roman"/>
          <w:spacing w:val="0"/>
          <w:w w:val="100"/>
          <w:sz w:val="22"/>
          <w:szCs w:val="22"/>
        </w:rPr>
        <w:t>&gt;</w:t>
      </w:r>
      <w:r>
        <w:rPr>
          <w:rFonts w:hint="eastAsia" w:ascii="Times New Roman" w:hAnsi="Times New Roman" w:cs="Times New Roman"/>
          <w:spacing w:val="0"/>
          <w:w w:val="100"/>
          <w:sz w:val="22"/>
          <w:szCs w:val="22"/>
          <w:lang w:val="en-US" w:eastAsia="zh-CN"/>
        </w:rPr>
        <w:t xml:space="preserve"> </w:t>
      </w:r>
      <w:r>
        <w:rPr>
          <w:rFonts w:hint="default" w:ascii="Times New Roman" w:hAnsi="Times New Roman" w:cs="Times New Roman"/>
          <w:spacing w:val="0"/>
          <w:w w:val="100"/>
          <w:sz w:val="22"/>
          <w:szCs w:val="22"/>
        </w:rPr>
        <w:t>100</w:t>
      </w:r>
      <w:r>
        <w:rPr>
          <w:rFonts w:hint="eastAsia" w:ascii="Times New Roman" w:hAnsi="Times New Roman" w:cs="Times New Roman"/>
          <w:spacing w:val="0"/>
          <w:w w:val="100"/>
          <w:sz w:val="22"/>
          <w:szCs w:val="22"/>
          <w:lang w:val="en-US" w:eastAsia="zh-CN"/>
        </w:rPr>
        <w:t xml:space="preserve"> </w:t>
      </w:r>
      <w:r>
        <w:rPr>
          <w:rFonts w:hint="default" w:ascii="Times New Roman" w:hAnsi="Times New Roman" w:cs="Times New Roman"/>
          <w:spacing w:val="0"/>
          <w:w w:val="100"/>
          <w:sz w:val="22"/>
          <w:szCs w:val="22"/>
        </w:rPr>
        <w:t>mg/L</w:t>
      </w:r>
      <w:r>
        <w:rPr>
          <w:rFonts w:hint="eastAsia" w:ascii="Times New Roman" w:hAnsi="Times New Roman" w:cs="Times New Roman"/>
          <w:spacing w:val="0"/>
          <w:w w:val="100"/>
          <w:sz w:val="22"/>
          <w:szCs w:val="22"/>
          <w:lang w:eastAsia="zh-CN"/>
        </w:rPr>
        <w:t>，</w:t>
      </w:r>
      <w:r>
        <w:rPr>
          <w:rFonts w:hint="default" w:ascii="Times New Roman" w:hAnsi="Times New Roman" w:cs="Times New Roman"/>
          <w:spacing w:val="0"/>
          <w:w w:val="100"/>
          <w:sz w:val="22"/>
          <w:szCs w:val="22"/>
        </w:rPr>
        <w:t>可以进行浓度为100</w:t>
      </w:r>
      <w:r>
        <w:rPr>
          <w:rFonts w:hint="eastAsia" w:ascii="Times New Roman" w:hAnsi="Times New Roman" w:cs="Times New Roman"/>
          <w:spacing w:val="0"/>
          <w:w w:val="100"/>
          <w:sz w:val="22"/>
          <w:szCs w:val="22"/>
          <w:lang w:val="en-US" w:eastAsia="zh-CN"/>
        </w:rPr>
        <w:t xml:space="preserve"> </w:t>
      </w:r>
      <w:r>
        <w:rPr>
          <w:rFonts w:hint="default" w:ascii="Times New Roman" w:hAnsi="Times New Roman" w:cs="Times New Roman"/>
          <w:spacing w:val="0"/>
          <w:w w:val="100"/>
          <w:sz w:val="22"/>
          <w:szCs w:val="22"/>
        </w:rPr>
        <w:t>mg/L</w:t>
      </w:r>
      <w:r>
        <w:rPr>
          <w:rFonts w:hint="eastAsia" w:ascii="Times New Roman" w:hAnsi="Times New Roman" w:cs="Times New Roman"/>
          <w:spacing w:val="0"/>
          <w:w w:val="100"/>
          <w:sz w:val="22"/>
          <w:szCs w:val="22"/>
          <w:lang w:eastAsia="zh-CN"/>
        </w:rPr>
        <w:t>（</w:t>
      </w:r>
      <w:r>
        <w:rPr>
          <w:rFonts w:hint="default" w:ascii="Times New Roman" w:hAnsi="Times New Roman" w:cs="Times New Roman"/>
          <w:spacing w:val="0"/>
          <w:w w:val="100"/>
          <w:sz w:val="22"/>
          <w:szCs w:val="22"/>
        </w:rPr>
        <w:t>有效成分</w:t>
      </w:r>
      <w:r>
        <w:rPr>
          <w:rFonts w:hint="eastAsia" w:ascii="Times New Roman" w:hAnsi="Times New Roman" w:cs="Times New Roman"/>
          <w:spacing w:val="0"/>
          <w:w w:val="100"/>
          <w:sz w:val="22"/>
          <w:szCs w:val="22"/>
          <w:lang w:eastAsia="zh-CN"/>
        </w:rPr>
        <w:t>）</w:t>
      </w:r>
      <w:r>
        <w:rPr>
          <w:rFonts w:hint="default" w:ascii="Times New Roman" w:hAnsi="Times New Roman" w:cs="Times New Roman"/>
          <w:spacing w:val="0"/>
          <w:w w:val="100"/>
          <w:sz w:val="22"/>
          <w:szCs w:val="22"/>
        </w:rPr>
        <w:t>的限度试验。限度试验组至少使用7尾水产养殖动物，与对照组使用的水产养殖动物数目相等。二项式理论表明：使用10尾水产养殖动物，没有1尾水产养殖动物死亡，那么LC</w:t>
      </w:r>
      <w:r>
        <w:rPr>
          <w:rFonts w:hint="default" w:ascii="Times New Roman" w:hAnsi="Times New Roman" w:cs="Times New Roman"/>
          <w:spacing w:val="0"/>
          <w:w w:val="100"/>
          <w:sz w:val="22"/>
          <w:szCs w:val="22"/>
          <w:vertAlign w:val="subscript"/>
        </w:rPr>
        <w:t>50</w:t>
      </w:r>
      <w:r>
        <w:rPr>
          <w:rFonts w:hint="eastAsia" w:ascii="Times New Roman" w:hAnsi="Times New Roman" w:cs="Times New Roman"/>
          <w:spacing w:val="0"/>
          <w:w w:val="100"/>
          <w:sz w:val="22"/>
          <w:szCs w:val="22"/>
          <w:vertAlign w:val="subscript"/>
          <w:lang w:val="en-US" w:eastAsia="zh-CN"/>
        </w:rPr>
        <w:t xml:space="preserve"> </w:t>
      </w:r>
      <w:r>
        <w:rPr>
          <w:rFonts w:hint="default" w:ascii="Times New Roman" w:hAnsi="Times New Roman" w:cs="Times New Roman"/>
          <w:spacing w:val="0"/>
          <w:w w:val="100"/>
          <w:sz w:val="22"/>
          <w:szCs w:val="22"/>
        </w:rPr>
        <w:t>&gt;</w:t>
      </w:r>
      <w:r>
        <w:rPr>
          <w:rFonts w:hint="eastAsia" w:ascii="Times New Roman" w:hAnsi="Times New Roman" w:cs="Times New Roman"/>
          <w:spacing w:val="0"/>
          <w:w w:val="100"/>
          <w:sz w:val="22"/>
          <w:szCs w:val="22"/>
          <w:lang w:val="en-US" w:eastAsia="zh-CN"/>
        </w:rPr>
        <w:t xml:space="preserve"> </w:t>
      </w:r>
      <w:r>
        <w:rPr>
          <w:rFonts w:hint="default" w:ascii="Times New Roman" w:hAnsi="Times New Roman" w:cs="Times New Roman"/>
          <w:spacing w:val="0"/>
          <w:w w:val="100"/>
          <w:sz w:val="22"/>
          <w:szCs w:val="22"/>
        </w:rPr>
        <w:t>100</w:t>
      </w:r>
      <w:r>
        <w:rPr>
          <w:rFonts w:hint="eastAsia" w:ascii="Times New Roman" w:hAnsi="Times New Roman" w:cs="Times New Roman"/>
          <w:spacing w:val="0"/>
          <w:w w:val="100"/>
          <w:sz w:val="22"/>
          <w:szCs w:val="22"/>
          <w:lang w:val="en-US" w:eastAsia="zh-CN"/>
        </w:rPr>
        <w:t xml:space="preserve"> </w:t>
      </w:r>
      <w:r>
        <w:rPr>
          <w:rFonts w:hint="default" w:ascii="Times New Roman" w:hAnsi="Times New Roman" w:cs="Times New Roman"/>
          <w:spacing w:val="0"/>
          <w:w w:val="100"/>
          <w:sz w:val="22"/>
          <w:szCs w:val="22"/>
        </w:rPr>
        <w:t>mg/L的概率为99.9%</w:t>
      </w:r>
      <w:r>
        <w:rPr>
          <w:rFonts w:hint="eastAsia" w:ascii="Times New Roman" w:hAnsi="Times New Roman" w:cs="Times New Roman"/>
          <w:spacing w:val="0"/>
          <w:w w:val="100"/>
          <w:sz w:val="22"/>
          <w:szCs w:val="22"/>
          <w:lang w:eastAsia="zh-CN"/>
        </w:rPr>
        <w:t>；</w:t>
      </w:r>
      <w:r>
        <w:rPr>
          <w:rFonts w:hint="default" w:ascii="Times New Roman" w:hAnsi="Times New Roman" w:cs="Times New Roman"/>
          <w:spacing w:val="0"/>
          <w:w w:val="100"/>
          <w:sz w:val="22"/>
          <w:szCs w:val="22"/>
        </w:rPr>
        <w:t>使用7尾、8尾或9尾水产养殖动物，没有1尾水产养殖动物死亡，那么LC</w:t>
      </w:r>
      <w:r>
        <w:rPr>
          <w:rFonts w:hint="default" w:ascii="Times New Roman" w:hAnsi="Times New Roman" w:cs="Times New Roman"/>
          <w:spacing w:val="0"/>
          <w:w w:val="100"/>
          <w:sz w:val="22"/>
          <w:szCs w:val="22"/>
          <w:vertAlign w:val="subscript"/>
        </w:rPr>
        <w:t>50</w:t>
      </w:r>
      <w:r>
        <w:rPr>
          <w:rFonts w:hint="eastAsia" w:ascii="Times New Roman" w:hAnsi="Times New Roman" w:cs="Times New Roman"/>
          <w:spacing w:val="0"/>
          <w:w w:val="100"/>
          <w:sz w:val="22"/>
          <w:szCs w:val="22"/>
          <w:vertAlign w:val="subscript"/>
          <w:lang w:val="en-US" w:eastAsia="zh-CN"/>
        </w:rPr>
        <w:t xml:space="preserve"> </w:t>
      </w:r>
      <w:r>
        <w:rPr>
          <w:rFonts w:hint="default" w:ascii="Times New Roman" w:hAnsi="Times New Roman" w:cs="Times New Roman"/>
          <w:spacing w:val="0"/>
          <w:w w:val="100"/>
          <w:sz w:val="22"/>
          <w:szCs w:val="22"/>
        </w:rPr>
        <w:t>&gt; 100</w:t>
      </w:r>
      <w:r>
        <w:rPr>
          <w:rFonts w:hint="eastAsia" w:ascii="Times New Roman" w:hAnsi="Times New Roman" w:cs="Times New Roman"/>
          <w:spacing w:val="0"/>
          <w:w w:val="100"/>
          <w:sz w:val="22"/>
          <w:szCs w:val="22"/>
          <w:lang w:val="en-US" w:eastAsia="zh-CN"/>
        </w:rPr>
        <w:t xml:space="preserve"> </w:t>
      </w:r>
      <w:r>
        <w:rPr>
          <w:rFonts w:hint="default" w:ascii="Times New Roman" w:hAnsi="Times New Roman" w:cs="Times New Roman"/>
          <w:spacing w:val="0"/>
          <w:w w:val="100"/>
          <w:sz w:val="22"/>
          <w:szCs w:val="22"/>
        </w:rPr>
        <w:t>mg/L的概率至少为99%。如果试验水产养殖动物发生死亡，则应按本标准的试验程序进行完整的试验。若观察到亚致死效应，应进行记录。</w:t>
      </w:r>
    </w:p>
    <w:p w14:paraId="3957F3F8">
      <w:pPr>
        <w:pStyle w:val="13"/>
        <w:spacing w:before="215" w:line="293" w:lineRule="auto"/>
        <w:ind w:right="67"/>
        <w:rPr>
          <w:rFonts w:ascii="黑体" w:hAnsi="黑体" w:eastAsia="黑体" w:cs="黑体"/>
          <w:spacing w:val="0"/>
          <w:w w:val="100"/>
        </w:rPr>
      </w:pPr>
      <w:r>
        <w:rPr>
          <w:rFonts w:hint="eastAsia" w:ascii="黑体" w:hAnsi="黑体" w:eastAsia="黑体" w:cs="黑体"/>
          <w:spacing w:val="0"/>
          <w:w w:val="100"/>
          <w:sz w:val="23"/>
          <w:szCs w:val="23"/>
          <w:lang w:val="en-US" w:eastAsia="zh-CN"/>
        </w:rPr>
        <w:t>4</w:t>
      </w:r>
      <w:r>
        <w:rPr>
          <w:rFonts w:hint="eastAsia" w:ascii="黑体" w:hAnsi="黑体" w:eastAsia="黑体" w:cs="黑体"/>
          <w:spacing w:val="0"/>
          <w:w w:val="100"/>
          <w:sz w:val="23"/>
          <w:szCs w:val="23"/>
        </w:rPr>
        <w:t xml:space="preserve"> 质量控制</w:t>
      </w:r>
    </w:p>
    <w:p w14:paraId="44241663">
      <w:pPr>
        <w:pStyle w:val="13"/>
        <w:keepNext w:val="0"/>
        <w:keepLines w:val="0"/>
        <w:pageBreakBefore w:val="0"/>
        <w:widowControl w:val="0"/>
        <w:kinsoku/>
        <w:wordWrap/>
        <w:overflowPunct/>
        <w:topLinePunct w:val="0"/>
        <w:autoSpaceDE/>
        <w:autoSpaceDN/>
        <w:bidi w:val="0"/>
        <w:adjustRightInd w:val="0"/>
        <w:snapToGrid/>
        <w:spacing w:after="0" w:line="276" w:lineRule="auto"/>
        <w:ind w:left="429"/>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有效的试验应符合以下条件：</w:t>
      </w:r>
    </w:p>
    <w:p w14:paraId="62B5DECD">
      <w:pPr>
        <w:pStyle w:val="13"/>
        <w:keepNext w:val="0"/>
        <w:keepLines w:val="0"/>
        <w:pageBreakBefore w:val="0"/>
        <w:widowControl w:val="0"/>
        <w:kinsoku/>
        <w:wordWrap/>
        <w:overflowPunct/>
        <w:topLinePunct w:val="0"/>
        <w:autoSpaceDE/>
        <w:autoSpaceDN/>
        <w:bidi w:val="0"/>
        <w:adjustRightInd w:val="0"/>
        <w:snapToGrid/>
        <w:spacing w:after="0" w:line="276" w:lineRule="auto"/>
        <w:ind w:firstLine="420" w:firstLineChars="200"/>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——试验期间，尽可能维持恒定条件。如有必要，应使用半静态或流水式试验；</w:t>
      </w:r>
    </w:p>
    <w:p w14:paraId="4FD9BBD0">
      <w:pPr>
        <w:pStyle w:val="13"/>
        <w:keepNext w:val="0"/>
        <w:keepLines w:val="0"/>
        <w:pageBreakBefore w:val="0"/>
        <w:widowControl w:val="0"/>
        <w:kinsoku/>
        <w:wordWrap/>
        <w:overflowPunct/>
        <w:topLinePunct w:val="0"/>
        <w:autoSpaceDE/>
        <w:autoSpaceDN/>
        <w:bidi w:val="0"/>
        <w:adjustRightInd w:val="0"/>
        <w:snapToGrid/>
        <w:spacing w:after="0" w:line="276" w:lineRule="auto"/>
        <w:ind w:right="53" w:firstLine="420" w:firstLineChars="200"/>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——试验结束时，对照组水产养殖动物死亡率不大于10%</w:t>
      </w:r>
      <w:r>
        <w:rPr>
          <w:rFonts w:hint="eastAsia"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如果每组水产养殖动物不到10尾则对照组死亡不超过1尾；</w:t>
      </w:r>
    </w:p>
    <w:p w14:paraId="42195D0F">
      <w:pPr>
        <w:pStyle w:val="13"/>
        <w:keepNext w:val="0"/>
        <w:keepLines w:val="0"/>
        <w:pageBreakBefore w:val="0"/>
        <w:widowControl w:val="0"/>
        <w:kinsoku/>
        <w:wordWrap/>
        <w:overflowPunct/>
        <w:topLinePunct w:val="0"/>
        <w:autoSpaceDE/>
        <w:autoSpaceDN/>
        <w:bidi w:val="0"/>
        <w:adjustRightInd w:val="0"/>
        <w:snapToGrid/>
        <w:spacing w:after="0" w:line="276" w:lineRule="auto"/>
        <w:ind w:left="499" w:right="53" w:hanging="70"/>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——试验期间，试验溶液的溶解氧浓度不小于60%空气饱和值；</w:t>
      </w:r>
    </w:p>
    <w:p w14:paraId="1CB1E998">
      <w:pPr>
        <w:pStyle w:val="13"/>
        <w:keepNext w:val="0"/>
        <w:keepLines w:val="0"/>
        <w:pageBreakBefore w:val="0"/>
        <w:widowControl w:val="0"/>
        <w:kinsoku/>
        <w:wordWrap/>
        <w:overflowPunct/>
        <w:topLinePunct w:val="0"/>
        <w:autoSpaceDE/>
        <w:autoSpaceDN/>
        <w:bidi w:val="0"/>
        <w:adjustRightInd w:val="0"/>
        <w:snapToGrid/>
        <w:spacing w:after="0" w:line="276" w:lineRule="auto"/>
        <w:ind w:right="53" w:firstLine="420" w:firstLineChars="200"/>
        <w:textAlignment w:val="auto"/>
        <w:rPr>
          <w:rFonts w:cs="宋体"/>
          <w:spacing w:val="0"/>
          <w:w w:val="100"/>
          <w:sz w:val="21"/>
          <w:szCs w:val="21"/>
        </w:rPr>
      </w:pPr>
      <w:r>
        <w:rPr>
          <w:rFonts w:hint="default" w:ascii="Times New Roman" w:hAnsi="Times New Roman" w:cs="Times New Roman"/>
          <w:spacing w:val="0"/>
          <w:w w:val="100"/>
          <w:sz w:val="21"/>
          <w:szCs w:val="21"/>
        </w:rPr>
        <w:t>——试验期间，受试物的实测浓度应不小于80%配制浓度。如果试验期间受试物实测浓度与配制浓度相差超过20%，则以受试物实测浓度平均值来确定试验结果。</w:t>
      </w:r>
    </w:p>
    <w:p w14:paraId="2F51F7EB">
      <w:pPr>
        <w:pStyle w:val="13"/>
        <w:spacing w:before="215" w:line="293" w:lineRule="auto"/>
        <w:ind w:right="67"/>
        <w:rPr>
          <w:rFonts w:hint="eastAsia" w:ascii="黑体" w:hAnsi="黑体" w:eastAsia="黑体" w:cs="黑体"/>
          <w:spacing w:val="0"/>
          <w:w w:val="100"/>
          <w:sz w:val="23"/>
          <w:szCs w:val="23"/>
        </w:rPr>
      </w:pPr>
      <w:r>
        <w:rPr>
          <w:rFonts w:hint="eastAsia" w:ascii="黑体" w:hAnsi="黑体" w:eastAsia="黑体" w:cs="黑体"/>
          <w:spacing w:val="0"/>
          <w:w w:val="100"/>
          <w:sz w:val="23"/>
          <w:szCs w:val="23"/>
          <w:lang w:val="en-US" w:eastAsia="zh-CN"/>
        </w:rPr>
        <w:t>5</w:t>
      </w:r>
      <w:r>
        <w:rPr>
          <w:rFonts w:hint="eastAsia" w:ascii="黑体" w:hAnsi="黑体" w:eastAsia="黑体" w:cs="黑体"/>
          <w:spacing w:val="0"/>
          <w:w w:val="100"/>
          <w:sz w:val="23"/>
          <w:szCs w:val="23"/>
        </w:rPr>
        <w:t xml:space="preserve"> 数据与报告</w:t>
      </w:r>
    </w:p>
    <w:p w14:paraId="2551DBAA">
      <w:pPr>
        <w:pStyle w:val="13"/>
        <w:spacing w:before="303" w:line="219" w:lineRule="auto"/>
        <w:ind w:left="3"/>
        <w:outlineLvl w:val="0"/>
        <w:rPr>
          <w:rFonts w:ascii="黑体" w:hAnsi="黑体" w:eastAsia="黑体" w:cs="黑体"/>
          <w:spacing w:val="0"/>
          <w:w w:val="100"/>
          <w:sz w:val="23"/>
          <w:szCs w:val="23"/>
        </w:rPr>
      </w:pPr>
      <w:r>
        <w:rPr>
          <w:rFonts w:hint="eastAsia" w:ascii="黑体" w:hAnsi="黑体" w:eastAsia="黑体" w:cs="黑体"/>
          <w:spacing w:val="0"/>
          <w:w w:val="100"/>
          <w:sz w:val="23"/>
          <w:szCs w:val="23"/>
          <w:lang w:val="en-US" w:eastAsia="zh-CN"/>
        </w:rPr>
        <w:t>5</w:t>
      </w:r>
      <w:r>
        <w:rPr>
          <w:rFonts w:hint="eastAsia" w:ascii="黑体" w:hAnsi="黑体" w:eastAsia="黑体" w:cs="黑体"/>
          <w:spacing w:val="0"/>
          <w:w w:val="100"/>
          <w:sz w:val="23"/>
          <w:szCs w:val="23"/>
        </w:rPr>
        <w:t>.1 数据处理</w:t>
      </w:r>
    </w:p>
    <w:p w14:paraId="125751C2">
      <w:pPr>
        <w:pStyle w:val="13"/>
        <w:keepNext w:val="0"/>
        <w:keepLines w:val="0"/>
        <w:pageBreakBefore w:val="0"/>
        <w:widowControl w:val="0"/>
        <w:kinsoku/>
        <w:wordWrap/>
        <w:overflowPunct/>
        <w:topLinePunct w:val="0"/>
        <w:autoSpaceDE/>
        <w:autoSpaceDN/>
        <w:bidi w:val="0"/>
        <w:adjustRightInd w:val="0"/>
        <w:snapToGrid/>
        <w:spacing w:after="0" w:line="276" w:lineRule="auto"/>
        <w:ind w:right="8"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在对数-概率坐标纸上，绘制不同暴露时间下试验浓度对累计死亡率的曲线。用常用统计程序计算出某暴露时间的LC</w:t>
      </w:r>
      <w:r>
        <w:rPr>
          <w:rFonts w:hint="default" w:ascii="Times New Roman" w:hAnsi="Times New Roman" w:cs="Times New Roman"/>
          <w:spacing w:val="0"/>
          <w:w w:val="100"/>
          <w:sz w:val="21"/>
          <w:szCs w:val="21"/>
          <w:vertAlign w:val="subscript"/>
        </w:rPr>
        <w:t>50</w:t>
      </w:r>
      <w:r>
        <w:rPr>
          <w:rFonts w:hint="default" w:ascii="Times New Roman" w:hAnsi="Times New Roman" w:cs="Times New Roman"/>
          <w:spacing w:val="0"/>
          <w:w w:val="100"/>
          <w:sz w:val="21"/>
          <w:szCs w:val="21"/>
        </w:rPr>
        <w:t>值，并用标准方法计算95%的置信限。</w:t>
      </w:r>
    </w:p>
    <w:p w14:paraId="5FF0133A">
      <w:pPr>
        <w:pStyle w:val="13"/>
        <w:keepNext w:val="0"/>
        <w:keepLines w:val="0"/>
        <w:pageBreakBefore w:val="0"/>
        <w:widowControl w:val="0"/>
        <w:kinsoku/>
        <w:wordWrap/>
        <w:overflowPunct/>
        <w:topLinePunct w:val="0"/>
        <w:autoSpaceDE/>
        <w:autoSpaceDN/>
        <w:bidi w:val="0"/>
        <w:adjustRightInd w:val="0"/>
        <w:snapToGrid/>
        <w:spacing w:after="0" w:line="276" w:lineRule="auto"/>
        <w:ind w:right="7"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如果试验数据不足以用标准方法计算LC</w:t>
      </w:r>
      <w:r>
        <w:rPr>
          <w:rFonts w:hint="default" w:ascii="Times New Roman" w:hAnsi="Times New Roman" w:cs="Times New Roman"/>
          <w:spacing w:val="0"/>
          <w:w w:val="100"/>
          <w:sz w:val="21"/>
          <w:szCs w:val="21"/>
          <w:vertAlign w:val="subscript"/>
        </w:rPr>
        <w:t>50</w:t>
      </w:r>
      <w:r>
        <w:rPr>
          <w:rFonts w:hint="eastAsia"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可用不引起死亡的最高浓度和引起100%死亡的最低死亡浓度估算LC</w:t>
      </w:r>
      <w:r>
        <w:rPr>
          <w:rFonts w:hint="default" w:ascii="Times New Roman" w:hAnsi="Times New Roman" w:cs="Times New Roman"/>
          <w:spacing w:val="0"/>
          <w:w w:val="100"/>
          <w:sz w:val="21"/>
          <w:szCs w:val="21"/>
          <w:vertAlign w:val="subscript"/>
        </w:rPr>
        <w:t>50</w:t>
      </w:r>
      <w:r>
        <w:rPr>
          <w:rFonts w:hint="default" w:ascii="Times New Roman" w:hAnsi="Times New Roman" w:cs="Times New Roman"/>
          <w:spacing w:val="0"/>
          <w:w w:val="100"/>
          <w:sz w:val="21"/>
          <w:szCs w:val="21"/>
        </w:rPr>
        <w:t>的近似值，即这两个浓度的几何平均值。</w:t>
      </w:r>
    </w:p>
    <w:p w14:paraId="66CD34AA">
      <w:pPr>
        <w:pStyle w:val="13"/>
        <w:spacing w:before="157" w:line="218" w:lineRule="auto"/>
        <w:ind w:left="3"/>
        <w:outlineLvl w:val="0"/>
        <w:rPr>
          <w:rFonts w:ascii="黑体" w:hAnsi="黑体" w:eastAsia="黑体" w:cs="黑体"/>
          <w:spacing w:val="0"/>
          <w:w w:val="100"/>
          <w:sz w:val="23"/>
          <w:szCs w:val="23"/>
        </w:rPr>
      </w:pPr>
      <w:r>
        <w:rPr>
          <w:rFonts w:hint="eastAsia" w:ascii="黑体" w:hAnsi="黑体" w:eastAsia="黑体" w:cs="黑体"/>
          <w:spacing w:val="0"/>
          <w:w w:val="100"/>
          <w:sz w:val="23"/>
          <w:szCs w:val="23"/>
          <w:lang w:val="en-US" w:eastAsia="zh-CN"/>
        </w:rPr>
        <w:t>5</w:t>
      </w:r>
      <w:r>
        <w:rPr>
          <w:rFonts w:hint="eastAsia" w:ascii="黑体" w:hAnsi="黑体" w:eastAsia="黑体" w:cs="黑体"/>
          <w:spacing w:val="0"/>
          <w:w w:val="100"/>
          <w:sz w:val="23"/>
          <w:szCs w:val="23"/>
        </w:rPr>
        <w:t>.2 试验报告</w:t>
      </w:r>
    </w:p>
    <w:p w14:paraId="568EE033">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试验报告应包括以下内容：</w:t>
      </w:r>
    </w:p>
    <w:p w14:paraId="1D6B2FB3">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a</w:t>
      </w:r>
      <w:r>
        <w:rPr>
          <w:rFonts w:hint="default"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受试物质：</w:t>
      </w:r>
    </w:p>
    <w:p w14:paraId="0E08D16A">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——物质的物理状态及相关理化特性等；</w:t>
      </w:r>
    </w:p>
    <w:p w14:paraId="1CD8F0F0">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——标识信息。</w:t>
      </w:r>
    </w:p>
    <w:p w14:paraId="32287781">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b</w:t>
      </w:r>
      <w:r>
        <w:rPr>
          <w:rFonts w:hint="default"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试验用水产养殖动物：</w:t>
      </w:r>
    </w:p>
    <w:p w14:paraId="4BA38B0A">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——学名、品系、大小、来源、驯化情况等。</w:t>
      </w:r>
    </w:p>
    <w:p w14:paraId="37DE0748">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c</w:t>
      </w:r>
      <w:r>
        <w:rPr>
          <w:rFonts w:hint="default"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试验条件：</w:t>
      </w:r>
    </w:p>
    <w:p w14:paraId="75810959">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——使用的试验方式，如静态、半静态或流水式，以及曝气、承载量等；</w:t>
      </w:r>
    </w:p>
    <w:p w14:paraId="799D67F4">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cs="Times New Roman"/>
          <w:spacing w:val="0"/>
          <w:w w:val="100"/>
          <w:sz w:val="21"/>
          <w:szCs w:val="21"/>
        </w:rPr>
        <w:t>——水质特性</w:t>
      </w:r>
      <w:r>
        <w:rPr>
          <w:rFonts w:hint="default"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pH值、硬度、温度</w:t>
      </w:r>
      <w:r>
        <w:rPr>
          <w:rFonts w:hint="default" w:ascii="Times New Roman" w:hAnsi="Times New Roman" w:cs="Times New Roman"/>
          <w:spacing w:val="0"/>
          <w:w w:val="100"/>
          <w:sz w:val="21"/>
          <w:szCs w:val="21"/>
          <w:lang w:eastAsia="zh-CN"/>
        </w:rPr>
        <w:t>）；</w:t>
      </w:r>
    </w:p>
    <w:p w14:paraId="34D046FC">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——每24 h试验溶液中的溶解氧浓度、pH值、温度；</w:t>
      </w:r>
    </w:p>
    <w:p w14:paraId="7F361CA7">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——对于半静态试验方式，试验液更新前后分别测定的pH值；</w:t>
      </w:r>
    </w:p>
    <w:p w14:paraId="0945527F">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——贮备液及试验溶液配制方法；</w:t>
      </w:r>
    </w:p>
    <w:p w14:paraId="71B0584E">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——配制的试验浓度；</w:t>
      </w:r>
    </w:p>
    <w:p w14:paraId="0A4CA0F1">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——试验溶液中受试物的实测浓度；</w:t>
      </w:r>
    </w:p>
    <w:p w14:paraId="588D4669">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——每一试验浓度用水产养殖动物的数目。</w:t>
      </w:r>
    </w:p>
    <w:p w14:paraId="416AC04A">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d</w:t>
      </w:r>
      <w:r>
        <w:rPr>
          <w:rFonts w:hint="default" w:ascii="Times New Roman" w:hAnsi="Times New Roman" w:cs="Times New Roman"/>
          <w:spacing w:val="0"/>
          <w:w w:val="100"/>
          <w:sz w:val="21"/>
          <w:szCs w:val="21"/>
          <w:lang w:eastAsia="zh-CN"/>
        </w:rPr>
        <w:t>）</w:t>
      </w:r>
      <w:r>
        <w:rPr>
          <w:rFonts w:hint="default" w:ascii="Times New Roman" w:hAnsi="Times New Roman" w:cs="Times New Roman"/>
          <w:spacing w:val="0"/>
          <w:w w:val="100"/>
          <w:sz w:val="21"/>
          <w:szCs w:val="21"/>
        </w:rPr>
        <w:t>结果：</w:t>
      </w:r>
    </w:p>
    <w:p w14:paraId="0C9C9A7F">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——试验期间，无死亡发生的最高浓度；</w:t>
      </w:r>
    </w:p>
    <w:p w14:paraId="6C57F64D">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——试验期间，导致100%死亡的最低浓度；</w:t>
      </w:r>
    </w:p>
    <w:p w14:paraId="5F5AFAF2">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——每个推荐观察时间下，各个浓度的累计死亡率；</w:t>
      </w:r>
    </w:p>
    <w:p w14:paraId="2FB163EB">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——每个推荐观察时间下的LC</w:t>
      </w:r>
      <w:r>
        <w:rPr>
          <w:rFonts w:hint="default" w:ascii="Times New Roman" w:hAnsi="Times New Roman" w:cs="Times New Roman"/>
          <w:spacing w:val="0"/>
          <w:w w:val="100"/>
          <w:sz w:val="21"/>
          <w:szCs w:val="21"/>
          <w:vertAlign w:val="subscript"/>
        </w:rPr>
        <w:t>50</w:t>
      </w:r>
      <w:r>
        <w:rPr>
          <w:rFonts w:hint="default" w:ascii="Times New Roman" w:hAnsi="Times New Roman" w:cs="Times New Roman"/>
          <w:spacing w:val="0"/>
          <w:w w:val="100"/>
          <w:sz w:val="21"/>
          <w:szCs w:val="21"/>
        </w:rPr>
        <w:t xml:space="preserve">值，及其95%的置信限； </w:t>
      </w:r>
    </w:p>
    <w:p w14:paraId="406F5DDB">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——试验结束后的浓度-死亡率曲线图；</w:t>
      </w:r>
    </w:p>
    <w:p w14:paraId="30EA6FDC">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——确定LC</w:t>
      </w:r>
      <w:r>
        <w:rPr>
          <w:rFonts w:hint="default" w:ascii="Times New Roman" w:hAnsi="Times New Roman" w:cs="Times New Roman"/>
          <w:spacing w:val="0"/>
          <w:w w:val="100"/>
          <w:sz w:val="21"/>
          <w:szCs w:val="21"/>
          <w:vertAlign w:val="subscript"/>
        </w:rPr>
        <w:t>50</w:t>
      </w:r>
      <w:r>
        <w:rPr>
          <w:rFonts w:hint="default" w:ascii="Times New Roman" w:hAnsi="Times New Roman" w:cs="Times New Roman"/>
          <w:spacing w:val="0"/>
          <w:w w:val="100"/>
          <w:sz w:val="21"/>
          <w:szCs w:val="21"/>
        </w:rPr>
        <w:t>值的统计学方法；</w:t>
      </w:r>
    </w:p>
    <w:p w14:paraId="5DAD87E7">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——对照组的死亡率；</w:t>
      </w:r>
    </w:p>
    <w:p w14:paraId="3B7BD24B">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1"/>
          <w:szCs w:val="21"/>
        </w:rPr>
      </w:pPr>
      <w:r>
        <w:rPr>
          <w:rFonts w:hint="default" w:ascii="Times New Roman" w:hAnsi="Times New Roman" w:cs="Times New Roman"/>
          <w:spacing w:val="0"/>
          <w:w w:val="100"/>
          <w:sz w:val="21"/>
          <w:szCs w:val="21"/>
        </w:rPr>
        <w:t>——试验期间，可能会影响试验结果的因素；</w:t>
      </w:r>
    </w:p>
    <w:p w14:paraId="3C2809E0">
      <w:pPr>
        <w:pStyle w:val="13"/>
        <w:keepNext w:val="0"/>
        <w:keepLines w:val="0"/>
        <w:pageBreakBefore w:val="0"/>
        <w:widowControl w:val="0"/>
        <w:kinsoku/>
        <w:wordWrap/>
        <w:overflowPunct/>
        <w:topLinePunct w:val="0"/>
        <w:autoSpaceDE/>
        <w:autoSpaceDN/>
        <w:bidi w:val="0"/>
        <w:adjustRightInd w:val="0"/>
        <w:snapToGrid/>
        <w:spacing w:after="0" w:line="276" w:lineRule="auto"/>
        <w:ind w:right="0" w:firstLine="431"/>
        <w:textAlignment w:val="auto"/>
        <w:rPr>
          <w:rFonts w:hint="default" w:ascii="Times New Roman" w:hAnsi="Times New Roman" w:cs="Times New Roman"/>
          <w:spacing w:val="0"/>
          <w:w w:val="100"/>
          <w:sz w:val="22"/>
          <w:szCs w:val="22"/>
        </w:rPr>
      </w:pPr>
      <w:r>
        <w:rPr>
          <w:rFonts w:hint="default" w:ascii="Times New Roman" w:hAnsi="Times New Roman" w:cs="Times New Roman"/>
          <w:spacing w:val="0"/>
          <w:w w:val="100"/>
          <w:sz w:val="21"/>
          <w:szCs w:val="21"/>
        </w:rPr>
        <w:t>——水产养殖动物的异常反应。</w:t>
      </w:r>
    </w:p>
    <w:p w14:paraId="58D22002">
      <w:pPr>
        <w:rPr>
          <w:spacing w:val="0"/>
          <w:w w:val="100"/>
        </w:rPr>
        <w:sectPr>
          <w:headerReference r:id="rId12" w:type="default"/>
          <w:footerReference r:id="rId13" w:type="default"/>
          <w:pgSz w:w="11906" w:h="16838"/>
          <w:pgMar w:top="1928" w:right="1134" w:bottom="1134" w:left="1134" w:header="1418" w:footer="1134" w:gutter="284"/>
          <w:pgNumType w:fmt="decimal" w:start="1"/>
          <w:cols w:space="425" w:num="1"/>
          <w:formProt w:val="0"/>
          <w:docGrid w:linePitch="312" w:charSpace="0"/>
        </w:sectPr>
      </w:pPr>
    </w:p>
    <w:bookmarkEnd w:id="20"/>
    <w:p w14:paraId="551BABD2">
      <w:pPr>
        <w:pStyle w:val="57"/>
        <w:ind w:firstLine="0" w:firstLineChars="0"/>
        <w:jc w:val="center"/>
        <w:rPr>
          <w:rFonts w:ascii="黑体" w:hAnsi="黑体" w:eastAsia="黑体" w:cs="黑体"/>
          <w:spacing w:val="0"/>
          <w:w w:val="100"/>
        </w:rPr>
      </w:pPr>
      <w:bookmarkStart w:id="43" w:name="BookMark8"/>
      <w:r>
        <w:rPr>
          <w:rFonts w:hint="eastAsia" w:ascii="黑体" w:hAnsi="黑体" w:eastAsia="黑体" w:cs="黑体"/>
          <w:spacing w:val="0"/>
          <w:w w:val="100"/>
        </w:rPr>
        <w:t>附录B</w:t>
      </w:r>
    </w:p>
    <w:p w14:paraId="07DBF0C4">
      <w:pPr>
        <w:pStyle w:val="13"/>
        <w:jc w:val="center"/>
        <w:rPr>
          <w:rFonts w:ascii="Times New Roman" w:hAnsi="Times New Roman" w:eastAsia="黑体"/>
          <w:spacing w:val="0"/>
          <w:w w:val="100"/>
          <w:kern w:val="0"/>
          <w:szCs w:val="20"/>
        </w:rPr>
      </w:pPr>
      <w:r>
        <w:rPr>
          <w:rFonts w:hint="eastAsia" w:ascii="Times New Roman" w:hAnsi="Times New Roman" w:eastAsia="黑体"/>
          <w:spacing w:val="0"/>
          <w:w w:val="100"/>
          <w:kern w:val="0"/>
          <w:szCs w:val="20"/>
        </w:rPr>
        <w:t>（资料性）</w:t>
      </w:r>
    </w:p>
    <w:p w14:paraId="64B9AFCD">
      <w:pPr>
        <w:pStyle w:val="13"/>
        <w:jc w:val="center"/>
        <w:rPr>
          <w:rFonts w:ascii="Times New Roman" w:hAnsi="Times New Roman" w:eastAsia="黑体"/>
          <w:spacing w:val="0"/>
          <w:w w:val="100"/>
          <w:kern w:val="0"/>
          <w:szCs w:val="20"/>
        </w:rPr>
      </w:pPr>
      <w:r>
        <w:rPr>
          <w:rFonts w:hint="eastAsia" w:ascii="Times New Roman" w:hAnsi="Times New Roman" w:eastAsia="黑体"/>
          <w:spacing w:val="0"/>
          <w:w w:val="100"/>
          <w:kern w:val="0"/>
          <w:szCs w:val="20"/>
        </w:rPr>
        <w:t>调水用品（化学类）水产靶动物耐受性评价试验指南</w:t>
      </w:r>
    </w:p>
    <w:p w14:paraId="17DC7BBD">
      <w:pPr>
        <w:snapToGrid w:val="0"/>
        <w:spacing w:line="360" w:lineRule="exact"/>
        <w:ind w:firstLine="420" w:firstLineChars="200"/>
        <w:jc w:val="left"/>
        <w:rPr>
          <w:rFonts w:hint="default" w:ascii="Times New Roman" w:hAnsi="Times New Roman"/>
          <w:spacing w:val="0"/>
          <w:w w:val="100"/>
          <w:highlight w:val="none"/>
        </w:rPr>
      </w:pPr>
      <w:r>
        <w:rPr>
          <w:rFonts w:ascii="Times New Roman" w:hAnsi="Times New Roman"/>
          <w:spacing w:val="0"/>
          <w:w w:val="100"/>
          <w:highlight w:val="none"/>
        </w:rPr>
        <w:t>1</w:t>
      </w:r>
      <w:r>
        <w:rPr>
          <w:rFonts w:hint="eastAsia" w:ascii="Times New Roman" w:hAnsi="Times New Roman"/>
          <w:spacing w:val="0"/>
          <w:w w:val="100"/>
          <w:highlight w:val="none"/>
        </w:rPr>
        <w:t xml:space="preserve">  </w:t>
      </w:r>
      <w:r>
        <w:rPr>
          <w:rFonts w:ascii="Times New Roman" w:hAnsi="Times New Roman"/>
          <w:spacing w:val="0"/>
          <w:w w:val="100"/>
          <w:highlight w:val="none"/>
        </w:rPr>
        <w:t>适用</w:t>
      </w:r>
      <w:r>
        <w:rPr>
          <w:rFonts w:hint="eastAsia" w:ascii="Times New Roman" w:hAnsi="Times New Roman"/>
          <w:spacing w:val="0"/>
          <w:w w:val="100"/>
          <w:highlight w:val="none"/>
          <w:lang w:val="en-US" w:eastAsia="zh-CN"/>
        </w:rPr>
        <w:t>性</w:t>
      </w:r>
    </w:p>
    <w:p w14:paraId="28B359C1">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1.1本指南规定了</w:t>
      </w:r>
      <w:r>
        <w:rPr>
          <w:rFonts w:hint="eastAsia" w:ascii="Times New Roman" w:hAnsi="Times New Roman"/>
          <w:spacing w:val="0"/>
          <w:w w:val="100"/>
        </w:rPr>
        <w:t>水产用调水用品（化学类）（以下简称：调水用品（化学类））</w:t>
      </w:r>
      <w:r>
        <w:rPr>
          <w:rFonts w:ascii="Times New Roman" w:hAnsi="Times New Roman"/>
          <w:spacing w:val="0"/>
          <w:w w:val="100"/>
        </w:rPr>
        <w:t>水产靶动物耐受性评价试验的基本原则、试验方案、试验方法和试验报告等要求。</w:t>
      </w:r>
    </w:p>
    <w:p w14:paraId="332776F9">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1.2本指南适用于为新</w:t>
      </w:r>
      <w:r>
        <w:rPr>
          <w:rFonts w:hint="eastAsia" w:ascii="Times New Roman" w:hAnsi="Times New Roman"/>
          <w:spacing w:val="0"/>
          <w:w w:val="100"/>
        </w:rPr>
        <w:t>调水用品（化学类）</w:t>
      </w:r>
      <w:r>
        <w:rPr>
          <w:rFonts w:ascii="Times New Roman" w:hAnsi="Times New Roman"/>
          <w:spacing w:val="0"/>
          <w:w w:val="100"/>
        </w:rPr>
        <w:t>申报以及已经批准使用的</w:t>
      </w:r>
      <w:r>
        <w:rPr>
          <w:rFonts w:hint="eastAsia" w:ascii="Times New Roman" w:hAnsi="Times New Roman"/>
          <w:spacing w:val="0"/>
          <w:w w:val="100"/>
        </w:rPr>
        <w:t>调水用品（化学类）</w:t>
      </w:r>
      <w:r>
        <w:rPr>
          <w:rFonts w:ascii="Times New Roman" w:hAnsi="Times New Roman"/>
          <w:spacing w:val="0"/>
          <w:w w:val="100"/>
        </w:rPr>
        <w:t>再评价而进行的水产靶动物耐受性评价试验。</w:t>
      </w:r>
    </w:p>
    <w:p w14:paraId="5FDA106E">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 xml:space="preserve">1.3 </w:t>
      </w:r>
      <w:r>
        <w:rPr>
          <w:rFonts w:hint="eastAsia" w:ascii="Times New Roman" w:hAnsi="Times New Roman"/>
          <w:spacing w:val="0"/>
          <w:w w:val="100"/>
        </w:rPr>
        <w:t>调水用品（化学类）</w:t>
      </w:r>
      <w:r>
        <w:rPr>
          <w:rFonts w:ascii="Times New Roman" w:hAnsi="Times New Roman"/>
          <w:spacing w:val="0"/>
          <w:w w:val="100"/>
        </w:rPr>
        <w:t>的靶动物耐受性评价试验可参照本指南的要求进行。</w:t>
      </w:r>
    </w:p>
    <w:p w14:paraId="75D9358A">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2 基本原则</w:t>
      </w:r>
    </w:p>
    <w:p w14:paraId="581BAD9F">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2.1靶动物耐受性评价试验的目的是为</w:t>
      </w:r>
      <w:r>
        <w:rPr>
          <w:rFonts w:hint="eastAsia" w:ascii="Times New Roman" w:hAnsi="Times New Roman"/>
          <w:spacing w:val="0"/>
          <w:w w:val="100"/>
        </w:rPr>
        <w:t>调水用品（化学类）</w:t>
      </w:r>
      <w:r>
        <w:rPr>
          <w:rFonts w:ascii="Times New Roman" w:hAnsi="Times New Roman"/>
          <w:spacing w:val="0"/>
          <w:w w:val="100"/>
        </w:rPr>
        <w:t>（以下简称为</w:t>
      </w:r>
      <w:r>
        <w:rPr>
          <w:rFonts w:hint="eastAsia" w:ascii="Times New Roman" w:hAnsi="Times New Roman"/>
          <w:spacing w:val="0"/>
          <w:w w:val="100"/>
          <w:lang w:eastAsia="zh-CN"/>
        </w:rPr>
        <w:t>“</w:t>
      </w:r>
      <w:r>
        <w:rPr>
          <w:rFonts w:ascii="Times New Roman" w:hAnsi="Times New Roman"/>
          <w:spacing w:val="0"/>
          <w:w w:val="100"/>
        </w:rPr>
        <w:t>受试物</w:t>
      </w:r>
      <w:r>
        <w:rPr>
          <w:rFonts w:hint="eastAsia" w:ascii="Times New Roman" w:hAnsi="Times New Roman"/>
          <w:spacing w:val="0"/>
          <w:w w:val="100"/>
          <w:lang w:eastAsia="zh-CN"/>
        </w:rPr>
        <w:t>”</w:t>
      </w:r>
      <w:r>
        <w:rPr>
          <w:rFonts w:ascii="Times New Roman" w:hAnsi="Times New Roman"/>
          <w:spacing w:val="0"/>
          <w:w w:val="100"/>
        </w:rPr>
        <w:t>）对靶动物的短期毒性提供有限评价；当受试物使用剂量超出推荐用量时，也可用来确立受试物的安全范围。</w:t>
      </w:r>
    </w:p>
    <w:p w14:paraId="59BCFED9">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2.2应根据中国的水产养殖业生产实际开展靶动物耐受性评价试验，以保证评价结果的客观性。</w:t>
      </w:r>
    </w:p>
    <w:p w14:paraId="0E91790D">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2.3靶动物耐受性评价试验应对受试物所适用的靶动物分别进行评价，本指南4.3以及其他另有规定的特殊情况除外。</w:t>
      </w:r>
    </w:p>
    <w:p w14:paraId="06729B6A">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2.4靶动物耐受性评价试验应由具备一定专业知识和试验技能的专业人员在适宜的试验场所、使用适宜的设备设施、按照规范的操作程序进行，并且由试验机构指定的负责人负责。用于产品报批的，评价机构和人员的要求另行规定。</w:t>
      </w:r>
    </w:p>
    <w:p w14:paraId="3892662B">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2.5试验动物应健康并且具有相似的遗传背景；饲养环境不应对试验结果造成影响；受试物和试验饲料不得受到污染。</w:t>
      </w:r>
    </w:p>
    <w:p w14:paraId="5D7FD81D">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2.6在符合靶动物耐受性评价试验相关要求的前提下，靶动物耐受性评价试验可与靶动物有效性评价试验合并进行。</w:t>
      </w:r>
    </w:p>
    <w:p w14:paraId="37B61C47">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2.7靶动物耐受性评价试验应充分考虑实验动物毒理学研究的结果。</w:t>
      </w:r>
    </w:p>
    <w:p w14:paraId="6BD67285">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3 试验方案</w:t>
      </w:r>
    </w:p>
    <w:p w14:paraId="2EE636A9">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试验开始前，应根据受试物和靶动物的特点，对试验进行系统设计，形成试验方案。试验方案应包括试验目的、试验方法、仪器设备、详细的动物品种和类别、动物数量、饲养和饲喂条件、环境和水质条件等，并由试验负责人签字确认。具体要求如下：</w:t>
      </w:r>
    </w:p>
    <w:p w14:paraId="122EFE5B">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3.1试验动物：品种或品系（通用名称后以斜体注明拉丁文双名）、年龄、体重、生理阶段和健康状况。必要时注明体长和性别；</w:t>
      </w:r>
    </w:p>
    <w:p w14:paraId="61036F4C">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3.2试验条件：明确动物来源、饲养条件、投喂方式；养殖设施的形状、规格、水体体积、光照条件、水质和水温；预饲期的条件要求；</w:t>
      </w:r>
    </w:p>
    <w:p w14:paraId="5F180AE7">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 xml:space="preserve">3.3试验分组：试验组和对照组数量、每组重复数和每个重复的动物数、统计方法； </w:t>
      </w:r>
    </w:p>
    <w:p w14:paraId="147894E2">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3.4试验</w:t>
      </w:r>
      <w:r>
        <w:rPr>
          <w:rFonts w:hint="eastAsia" w:ascii="Times New Roman" w:hAnsi="Times New Roman"/>
          <w:spacing w:val="0"/>
          <w:w w:val="100"/>
        </w:rPr>
        <w:t>受试物</w:t>
      </w:r>
      <w:r>
        <w:rPr>
          <w:rFonts w:ascii="Times New Roman" w:hAnsi="Times New Roman"/>
          <w:spacing w:val="0"/>
          <w:w w:val="100"/>
        </w:rPr>
        <w:t>：描述</w:t>
      </w:r>
      <w:r>
        <w:rPr>
          <w:rFonts w:hint="eastAsia" w:ascii="Times New Roman" w:hAnsi="Times New Roman"/>
          <w:spacing w:val="0"/>
          <w:w w:val="100"/>
        </w:rPr>
        <w:t>受试物</w:t>
      </w:r>
      <w:r>
        <w:rPr>
          <w:rFonts w:ascii="Times New Roman" w:hAnsi="Times New Roman"/>
          <w:spacing w:val="0"/>
          <w:w w:val="100"/>
        </w:rPr>
        <w:t>的加工方法、</w:t>
      </w:r>
      <w:r>
        <w:rPr>
          <w:rFonts w:hint="eastAsia" w:ascii="Times New Roman" w:hAnsi="Times New Roman"/>
          <w:spacing w:val="0"/>
          <w:w w:val="100"/>
        </w:rPr>
        <w:t>有效成分及其含量、受试物性状</w:t>
      </w:r>
      <w:r>
        <w:rPr>
          <w:rFonts w:ascii="Times New Roman" w:hAnsi="Times New Roman"/>
          <w:spacing w:val="0"/>
          <w:w w:val="100"/>
        </w:rPr>
        <w:t>；注意根据受试物特点和使用方法，同一试验应保证所有原料来源和批次一致，各试验处理组试验因子以外的其他因素（如：料型、粒度、加工工艺等）应一致；</w:t>
      </w:r>
    </w:p>
    <w:p w14:paraId="6597CD75">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3.5受试物的测定：受试物的通用名称及有效成分、生产厂家、规格、生产批号、有效成分含量的</w:t>
      </w:r>
      <w:r>
        <w:rPr>
          <w:rFonts w:hint="eastAsia" w:ascii="Times New Roman" w:hAnsi="Times New Roman"/>
          <w:spacing w:val="0"/>
          <w:w w:val="100"/>
        </w:rPr>
        <w:t>检测</w:t>
      </w:r>
      <w:r>
        <w:rPr>
          <w:rFonts w:ascii="Times New Roman" w:hAnsi="Times New Roman"/>
          <w:spacing w:val="0"/>
          <w:w w:val="100"/>
        </w:rPr>
        <w:t>方法及</w:t>
      </w:r>
      <w:r>
        <w:rPr>
          <w:rFonts w:hint="eastAsia" w:ascii="Times New Roman" w:hAnsi="Times New Roman"/>
          <w:spacing w:val="0"/>
          <w:w w:val="100"/>
        </w:rPr>
        <w:t>检测</w:t>
      </w:r>
      <w:r>
        <w:rPr>
          <w:rFonts w:ascii="Times New Roman" w:hAnsi="Times New Roman"/>
          <w:spacing w:val="0"/>
          <w:w w:val="100"/>
        </w:rPr>
        <w:t>结果、</w:t>
      </w:r>
      <w:r>
        <w:rPr>
          <w:rFonts w:hint="eastAsia" w:ascii="Times New Roman" w:hAnsi="Times New Roman"/>
          <w:spacing w:val="0"/>
          <w:w w:val="100"/>
        </w:rPr>
        <w:t>检测</w:t>
      </w:r>
      <w:r>
        <w:rPr>
          <w:rFonts w:ascii="Times New Roman" w:hAnsi="Times New Roman"/>
          <w:spacing w:val="0"/>
          <w:w w:val="100"/>
        </w:rPr>
        <w:t>机构</w:t>
      </w:r>
      <w:r>
        <w:rPr>
          <w:rFonts w:hint="eastAsia" w:ascii="Times New Roman" w:hAnsi="Times New Roman"/>
          <w:spacing w:val="0"/>
          <w:w w:val="100"/>
        </w:rPr>
        <w:t>的材料，在试验之前需有完整资料</w:t>
      </w:r>
      <w:r>
        <w:rPr>
          <w:rFonts w:ascii="Times New Roman" w:hAnsi="Times New Roman"/>
          <w:spacing w:val="0"/>
          <w:w w:val="100"/>
        </w:rPr>
        <w:t>；</w:t>
      </w:r>
    </w:p>
    <w:p w14:paraId="43B25046">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 xml:space="preserve">3.6观测项目和时间：检测和观察项目名称、实施和持续的确切时间； </w:t>
      </w:r>
    </w:p>
    <w:p w14:paraId="2BBB7FF9">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3.7疾病治疗和预防措施：不应干扰受试物的作用并逐一记录；</w:t>
      </w:r>
    </w:p>
    <w:p w14:paraId="1C3022E4">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3.8突发事件处理：动物个体和各试验组发生的所有非预期的突发事件，都应记录其发生的时间和范围。</w:t>
      </w:r>
    </w:p>
    <w:p w14:paraId="77777CF3">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 试验方法</w:t>
      </w:r>
    </w:p>
    <w:p w14:paraId="4C2C067D">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4.1受试物</w:t>
      </w:r>
    </w:p>
    <w:p w14:paraId="518D1434">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4.1.1对于申请产品</w:t>
      </w:r>
      <w:r>
        <w:rPr>
          <w:rFonts w:hint="eastAsia" w:ascii="Times New Roman" w:hAnsi="Times New Roman"/>
          <w:spacing w:val="0"/>
          <w:w w:val="100"/>
        </w:rPr>
        <w:t>备案</w:t>
      </w:r>
      <w:r>
        <w:rPr>
          <w:rFonts w:ascii="Times New Roman" w:hAnsi="Times New Roman"/>
          <w:spacing w:val="0"/>
          <w:w w:val="100"/>
        </w:rPr>
        <w:t>的受试物，应与拟上市（或拟进口）的产品完全一致。产品应由申报单位自行研制并在中试车间生产或生产线生产，同时提供产品质量标准和使用说明。</w:t>
      </w:r>
    </w:p>
    <w:p w14:paraId="7A2D7802">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4.1.2试验机构应将受试物样品送</w:t>
      </w:r>
      <w:r>
        <w:rPr>
          <w:rFonts w:hint="eastAsia" w:ascii="Times New Roman" w:hAnsi="Times New Roman"/>
          <w:spacing w:val="0"/>
          <w:w w:val="100"/>
        </w:rPr>
        <w:t>具备CMA资质的</w:t>
      </w:r>
      <w:r>
        <w:rPr>
          <w:rFonts w:ascii="Times New Roman" w:hAnsi="Times New Roman"/>
          <w:spacing w:val="0"/>
          <w:w w:val="100"/>
        </w:rPr>
        <w:t>的质检机构对其有效成分的含量进行实际测定。</w:t>
      </w:r>
    </w:p>
    <w:p w14:paraId="5F4B94CD">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4.2剂量与分组</w:t>
      </w:r>
    </w:p>
    <w:p w14:paraId="2D06DAF0">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4.2.1试验分组：靶动物耐受性评价试验至少要包括三个组，即对照组、有效剂量组、多倍剂量组。</w:t>
      </w:r>
    </w:p>
    <w:p w14:paraId="5BA3FF11">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4.2.2试验剂量</w:t>
      </w:r>
    </w:p>
    <w:p w14:paraId="6D5208A5">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对照组通常不应含有受试物，但是，对于某些动物机体的必需营养素（如氨基酸、维生素、微量元素等），可以添加，但添加量应维持在最低必需水平。</w:t>
      </w:r>
    </w:p>
    <w:p w14:paraId="279373F4">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一般情况下，有效剂量组应该选用最高限量。如果没有最高限量，应选用最高推荐剂量。如果没有最高推荐量，应根据受试物的自身特性，选择最低推荐剂量的2倍作为有效剂量。</w:t>
      </w:r>
    </w:p>
    <w:p w14:paraId="6C7A86B7">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多倍剂量组一般选用上述有效剂量的10倍。</w:t>
      </w:r>
    </w:p>
    <w:p w14:paraId="07E8A4BC">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如果受试物的耐受剂量低于有效剂量的10倍，耐受性评价试验应能通过尸检、组织病理学以及其他适宜的试验方法提出反映受试物毒性的特异性指标，并计算出受试物的安全系数。</w:t>
      </w:r>
    </w:p>
    <w:p w14:paraId="5A4CA1A2">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4.2.3试验重复数：各试验组和对照组的试验重复数（或动物数）必须满足附录A的要求。</w:t>
      </w:r>
    </w:p>
    <w:p w14:paraId="5EB50EF4">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4.3试验期</w:t>
      </w:r>
    </w:p>
    <w:p w14:paraId="32E3B73A">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靶动物耐受性评价试验需要的最短试验期取决于适用动物的种类和生长阶段，具体要求见附录A。</w:t>
      </w:r>
    </w:p>
    <w:p w14:paraId="7123A9EC">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4.4观察与检测</w:t>
      </w:r>
    </w:p>
    <w:p w14:paraId="676E22D7">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4.4.1临床观察</w:t>
      </w:r>
    </w:p>
    <w:p w14:paraId="187F5715">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试验期内应每天观察并记录试验动物临床表现、摄食情况、生长情况以及相关动物产品的产量和特性，也应详细观察和记录正常和不良反应。对试验中出现的不明原因的死亡应进行尸检，如果可能，最好进行组织病理学检查。</w:t>
      </w:r>
    </w:p>
    <w:p w14:paraId="5332C33E">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4.4.2血液学检测</w:t>
      </w:r>
    </w:p>
    <w:p w14:paraId="74B21E72">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试验开始和试验结束（必要时增加试验中期），各组试验动物空腹24小时后进行取样。每组随机抽检一定数量的动物，性别比例适当（适用时），分别采集血样进行血液常规生化指标及其他与受试物相关的各种生理参数的检测。每个处理的采血时间在2个小时内完成，并准确记录采血时间。</w:t>
      </w:r>
    </w:p>
    <w:p w14:paraId="0D0B2383">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血液常规生化指标主要指谷氨酸氨基转移酶（ALT）、天门冬氨酸基转移酶（AST）、碱性磷酸酶（ALP）、总蛋白（TPRO）、白蛋白（ALB）、尿素氮（UN）、肌酐（CRE）、血糖（GLU）、总胆红素（TBILI）等指标，以及相应的免疫和抗氧化指标。</w:t>
      </w:r>
    </w:p>
    <w:p w14:paraId="75DE4383">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4.4.3组织病理学检查</w:t>
      </w:r>
    </w:p>
    <w:p w14:paraId="6D97B066">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4.4.3.1尸体解剖学检查：试验结束时，各组屠宰一定数量的试验动物</w:t>
      </w:r>
      <w:r>
        <w:rPr>
          <w:rFonts w:hint="eastAsia" w:ascii="Times New Roman" w:hAnsi="Times New Roman"/>
          <w:spacing w:val="0"/>
          <w:w w:val="100"/>
          <w:lang w:eastAsia="zh-CN"/>
        </w:rPr>
        <w:t>（</w:t>
      </w:r>
      <w:r>
        <w:rPr>
          <w:rFonts w:ascii="Times New Roman" w:hAnsi="Times New Roman"/>
          <w:spacing w:val="0"/>
          <w:w w:val="100"/>
        </w:rPr>
        <w:t>如有必要，则性别比例适当</w:t>
      </w:r>
      <w:r>
        <w:rPr>
          <w:rFonts w:hint="eastAsia" w:ascii="Times New Roman" w:hAnsi="Times New Roman"/>
          <w:spacing w:val="0"/>
          <w:w w:val="100"/>
          <w:lang w:eastAsia="zh-CN"/>
        </w:rPr>
        <w:t>）</w:t>
      </w:r>
      <w:r>
        <w:rPr>
          <w:rFonts w:ascii="Times New Roman" w:hAnsi="Times New Roman"/>
          <w:spacing w:val="0"/>
          <w:w w:val="100"/>
        </w:rPr>
        <w:t>，进行系统尸体解剖学检查，为进一步的组织学检查提供依据。</w:t>
      </w:r>
    </w:p>
    <w:p w14:paraId="6B275FEA">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4.4.3.2脏器系数测定：试验结束时，各组随机屠宰一定数量动物</w:t>
      </w:r>
      <w:r>
        <w:rPr>
          <w:rFonts w:hint="eastAsia" w:ascii="Times New Roman" w:hAnsi="Times New Roman"/>
          <w:spacing w:val="0"/>
          <w:w w:val="100"/>
          <w:lang w:eastAsia="zh-CN"/>
        </w:rPr>
        <w:t>（</w:t>
      </w:r>
      <w:r>
        <w:rPr>
          <w:rFonts w:ascii="Times New Roman" w:hAnsi="Times New Roman"/>
          <w:spacing w:val="0"/>
          <w:w w:val="100"/>
        </w:rPr>
        <w:t>如有必要，性别比例适当</w:t>
      </w:r>
      <w:r>
        <w:rPr>
          <w:rFonts w:hint="eastAsia" w:ascii="Times New Roman" w:hAnsi="Times New Roman"/>
          <w:spacing w:val="0"/>
          <w:w w:val="100"/>
          <w:lang w:eastAsia="zh-CN"/>
        </w:rPr>
        <w:t>）</w:t>
      </w:r>
      <w:r>
        <w:rPr>
          <w:rFonts w:ascii="Times New Roman" w:hAnsi="Times New Roman"/>
          <w:spacing w:val="0"/>
          <w:w w:val="100"/>
        </w:rPr>
        <w:t>，剖检取内脏团、肝（胰）脏、脾等脏器称重，并计算各器官与体重的比值。</w:t>
      </w:r>
    </w:p>
    <w:p w14:paraId="45F4C38A">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4.4.3.3组织病理学检查：试验结束时，对多倍剂量组及尸检异常动物的主要器官进行系统的组织病理学检查，必须详细检查的器官和组织包括：肝（胰）脏和肠道组织，同时根据受试物的特点，对其主要代谢靶器官进行组织病理学检查。</w:t>
      </w:r>
    </w:p>
    <w:p w14:paraId="14B23964">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4.4.4其他特异性观测指标</w:t>
      </w:r>
    </w:p>
    <w:p w14:paraId="4031C1CC">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根据受试物的作用特点和用途，增加相应的特异性观测指标和敏感性功能指标。</w:t>
      </w:r>
    </w:p>
    <w:p w14:paraId="671E2935">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4.5数据记录</w:t>
      </w:r>
    </w:p>
    <w:p w14:paraId="48B06D97">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4.5.1在试验实施过程中，试验方案所涉及的内容均应逐一记录。数据记录应真实、准确、完整、规范、清晰，并妥善保管。</w:t>
      </w:r>
    </w:p>
    <w:p w14:paraId="68FD0507">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4.5.2数据的有效位数以所用仪器的精度为准，采用国家法定计量单位和国家推荐使用的单位。</w:t>
      </w:r>
    </w:p>
    <w:p w14:paraId="7999DA4D">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4.6统计分析</w:t>
      </w:r>
    </w:p>
    <w:p w14:paraId="339D1D88">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4.6.1以重复为单位，根据不同的试验设计采用相应的统计分析方法进行数据分析。</w:t>
      </w:r>
    </w:p>
    <w:p w14:paraId="616D4A9D">
      <w:pPr>
        <w:snapToGrid w:val="0"/>
        <w:spacing w:line="360" w:lineRule="exact"/>
        <w:ind w:firstLine="420" w:firstLineChars="200"/>
        <w:jc w:val="left"/>
        <w:rPr>
          <w:rFonts w:ascii="Times New Roman" w:hAnsi="Times New Roman"/>
          <w:spacing w:val="0"/>
          <w:w w:val="100"/>
        </w:rPr>
      </w:pPr>
      <w:r>
        <w:rPr>
          <w:rFonts w:ascii="Times New Roman" w:hAnsi="Times New Roman"/>
          <w:spacing w:val="0"/>
          <w:w w:val="100"/>
        </w:rPr>
        <w:t>4.6.2统计显著性差异水平至少应达到</w:t>
      </w:r>
      <w:r>
        <w:rPr>
          <w:rFonts w:ascii="Times New Roman" w:hAnsi="Times New Roman"/>
          <w:i/>
          <w:iCs/>
          <w:spacing w:val="0"/>
          <w:w w:val="100"/>
        </w:rPr>
        <w:t>P</w:t>
      </w:r>
      <w:r>
        <w:rPr>
          <w:rFonts w:hint="eastAsia" w:ascii="Times New Roman" w:hAnsi="Times New Roman"/>
          <w:i/>
          <w:iCs/>
          <w:spacing w:val="0"/>
          <w:w w:val="100"/>
          <w:lang w:val="en-US" w:eastAsia="zh-CN"/>
        </w:rPr>
        <w:t xml:space="preserve"> </w:t>
      </w:r>
      <w:r>
        <w:rPr>
          <w:rFonts w:ascii="Times New Roman" w:hAnsi="Times New Roman"/>
          <w:spacing w:val="0"/>
          <w:w w:val="100"/>
        </w:rPr>
        <w:t>&lt;</w:t>
      </w:r>
      <w:r>
        <w:rPr>
          <w:rFonts w:hint="eastAsia" w:ascii="Times New Roman" w:hAnsi="Times New Roman"/>
          <w:spacing w:val="0"/>
          <w:w w:val="100"/>
          <w:lang w:val="en-US" w:eastAsia="zh-CN"/>
        </w:rPr>
        <w:t xml:space="preserve"> </w:t>
      </w:r>
      <w:r>
        <w:rPr>
          <w:rFonts w:ascii="Times New Roman" w:hAnsi="Times New Roman"/>
          <w:spacing w:val="0"/>
          <w:w w:val="100"/>
        </w:rPr>
        <w:t>0.05。</w:t>
      </w:r>
    </w:p>
    <w:p w14:paraId="4C4868A3">
      <w:pPr>
        <w:rPr>
          <w:spacing w:val="0"/>
          <w:w w:val="100"/>
        </w:rPr>
      </w:pPr>
      <w:r>
        <w:rPr>
          <w:spacing w:val="0"/>
          <w:w w:val="100"/>
        </w:rPr>
        <w:br w:type="page"/>
      </w:r>
    </w:p>
    <w:p w14:paraId="6C3B0F6F">
      <w:pPr>
        <w:pStyle w:val="199"/>
        <w:rPr>
          <w:vanish w:val="0"/>
          <w:spacing w:val="0"/>
          <w:w w:val="100"/>
        </w:rPr>
      </w:pPr>
      <w:bookmarkStart w:id="44" w:name="BookMark5"/>
    </w:p>
    <w:bookmarkEnd w:id="44"/>
    <w:p w14:paraId="6CC24F12">
      <w:pPr>
        <w:pStyle w:val="64"/>
        <w:spacing w:after="120"/>
        <w:rPr>
          <w:spacing w:val="0"/>
          <w:w w:val="100"/>
        </w:rPr>
      </w:pPr>
      <w:r>
        <w:rPr>
          <w:rFonts w:hint="eastAsia"/>
          <w:spacing w:val="0"/>
          <w:w w:val="100"/>
        </w:rPr>
        <w:t>参考文献</w:t>
      </w:r>
    </w:p>
    <w:p w14:paraId="04841EE8">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[1] 农业部161号公告—2001 肥料登记资料要求</w:t>
      </w:r>
    </w:p>
    <w:p w14:paraId="473D3BC2">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 xml:space="preserve">[2] 农业部1773号公告—2012 </w:t>
      </w:r>
      <w:bookmarkStart w:id="45" w:name="_Hlk178020523"/>
      <w:r>
        <w:rPr>
          <w:rFonts w:hint="default" w:ascii="Times New Roman" w:hAnsi="Times New Roman" w:cs="Times New Roman"/>
          <w:spacing w:val="0"/>
          <w:w w:val="100"/>
        </w:rPr>
        <w:t>饲料原料目录</w:t>
      </w:r>
      <w:bookmarkEnd w:id="45"/>
    </w:p>
    <w:p w14:paraId="6CD93B35">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[3] 农业部2038号公告—2017 饲料原料目录</w:t>
      </w:r>
    </w:p>
    <w:p w14:paraId="187AFA60">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[4] 农业部2045号公告—2013 饲料添加剂目录</w:t>
      </w:r>
    </w:p>
    <w:p w14:paraId="18A76A58">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[5] 农业部2133号公告—2014 饲料原料目录</w:t>
      </w:r>
    </w:p>
    <w:p w14:paraId="71CA27A2">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[6] 农业部2134号公告—2014 饲料添加剂目录</w:t>
      </w:r>
    </w:p>
    <w:p w14:paraId="45A2A9CF">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[7] 农业部2249号公告—2015 饲料原料目录</w:t>
      </w:r>
    </w:p>
    <w:p w14:paraId="32ED6312">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[8] 农业部2634号公告—2017 饲料原料目录</w:t>
      </w:r>
    </w:p>
    <w:p w14:paraId="49AA62B9">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[9] 农业农村部21号公告—2018 饲料添加剂目录</w:t>
      </w:r>
    </w:p>
    <w:p w14:paraId="55B7E639">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[10] 农业农村部22号公告—2018 饲料原料目录</w:t>
      </w:r>
    </w:p>
    <w:p w14:paraId="4720B7AE">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[11] 农业农村部53号公告—2018 饲料添加剂目录</w:t>
      </w:r>
    </w:p>
    <w:p w14:paraId="5B7E8707">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[12] 农业农村部356号公告—2020 饲料原料目录</w:t>
      </w:r>
    </w:p>
    <w:p w14:paraId="79E5E83C">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[13] 农业农村部356号公告—2020 饲料添加剂目录</w:t>
      </w:r>
    </w:p>
    <w:p w14:paraId="0420B393">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[14] 农业农村部1231号公告—2009 饲料添加剂目录</w:t>
      </w:r>
    </w:p>
    <w:p w14:paraId="0B66E86C">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default" w:ascii="Times New Roman" w:hAnsi="Times New Roman" w:cs="Times New Roman"/>
          <w:spacing w:val="0"/>
          <w:w w:val="100"/>
        </w:rPr>
        <w:t>[15] 农业部2011 饲料和饲料添加剂畜禽靶动物耐受性评价试验指南（试行）</w:t>
      </w:r>
    </w:p>
    <w:p w14:paraId="3889E169">
      <w:pPr>
        <w:pStyle w:val="57"/>
        <w:ind w:firstLine="0" w:firstLineChars="0"/>
        <w:jc w:val="left"/>
        <w:rPr>
          <w:spacing w:val="0"/>
          <w:w w:val="100"/>
        </w:rPr>
      </w:pPr>
    </w:p>
    <w:p w14:paraId="379B8752">
      <w:pPr>
        <w:pStyle w:val="57"/>
        <w:ind w:firstLine="0" w:firstLineChars="0"/>
        <w:jc w:val="center"/>
      </w:pPr>
      <w:r>
        <w:rPr>
          <w:rFonts w:hint="eastAsia"/>
        </w:rPr>
        <w:drawing>
          <wp:inline distT="0" distB="0" distL="0" distR="0">
            <wp:extent cx="1485900" cy="317500"/>
            <wp:effectExtent l="0" t="0" r="0" b="6350"/>
            <wp:docPr id="716432074" name="图片 3"/>
            <wp:cNvGraphicFramePr/>
            <a:graphic xmlns:a="http://schemas.openxmlformats.org/drawingml/2006/main">
              <a:graphicData uri="http://schemas.openxmlformats.org/drawingml/2006/picture">
                <pic:pic xmlns:pic="http://schemas.openxmlformats.org/drawingml/2006/picture">
                  <pic:nvPicPr>
                    <pic:cNvPr id="716432074"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footerReference r:id="rId14" w:type="default"/>
      <w:pgSz w:w="11906" w:h="16838"/>
      <w:pgMar w:top="1928" w:right="1134" w:bottom="1134" w:left="1134" w:header="1418" w:footer="1134" w:gutter="284"/>
      <w:pgNumType w:fmt="decimal"/>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A5195">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1590">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5B9E">
    <w:pPr>
      <w:pStyle w:val="53"/>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940A0">
    <w:pPr>
      <w:spacing w:line="173" w:lineRule="auto"/>
      <w:ind w:left="280"/>
      <w:rPr>
        <w:rFonts w:ascii="Times New Roman" w:hAnsi="Times New Roman" w:eastAsia="Times New Roman"/>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C0791">
                          <w:pPr>
                            <w:pStyle w:val="17"/>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2C0791">
                    <w:pPr>
                      <w:pStyle w:val="17"/>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A7C2">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AF0BA">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FAF0B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AD9F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40F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0552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0377">
    <w:pPr>
      <w:pStyle w:val="62"/>
    </w:pPr>
    <w:r>
      <w:fldChar w:fldCharType="begin"/>
    </w:r>
    <w:r>
      <w:instrText xml:space="preserve"> STYLEREF  标准文件_文件编号  \* MERGEFORMAT </w:instrText>
    </w:r>
    <w:r>
      <w:fldChar w:fldCharType="separate"/>
    </w:r>
    <w:r>
      <w:t>T/SCSF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F67D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567"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42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567"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NmFlOTcyMDgxMjM2NTA5ZjlmNmRjYWMyYThjOTIifQ=="/>
  </w:docVars>
  <w:rsids>
    <w:rsidRoot w:val="00CB256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D7D"/>
    <w:rsid w:val="000249DB"/>
    <w:rsid w:val="0002595E"/>
    <w:rsid w:val="000303C3"/>
    <w:rsid w:val="000331D3"/>
    <w:rsid w:val="000343A8"/>
    <w:rsid w:val="000346A5"/>
    <w:rsid w:val="000359C3"/>
    <w:rsid w:val="00035A7D"/>
    <w:rsid w:val="000365ED"/>
    <w:rsid w:val="000416AC"/>
    <w:rsid w:val="0004249A"/>
    <w:rsid w:val="00043282"/>
    <w:rsid w:val="00044286"/>
    <w:rsid w:val="000462F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610"/>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2C8"/>
    <w:rsid w:val="000A7311"/>
    <w:rsid w:val="000B060F"/>
    <w:rsid w:val="000B0F59"/>
    <w:rsid w:val="000B1592"/>
    <w:rsid w:val="000B1FF2"/>
    <w:rsid w:val="000B3CDA"/>
    <w:rsid w:val="000B6A0B"/>
    <w:rsid w:val="000C0F6C"/>
    <w:rsid w:val="000C11DB"/>
    <w:rsid w:val="000C1492"/>
    <w:rsid w:val="000C2FBD"/>
    <w:rsid w:val="000C4B41"/>
    <w:rsid w:val="000C57D6"/>
    <w:rsid w:val="000C6362"/>
    <w:rsid w:val="000C7666"/>
    <w:rsid w:val="000D0A9C"/>
    <w:rsid w:val="000D13B1"/>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41"/>
    <w:rsid w:val="001446C2"/>
    <w:rsid w:val="001457E7"/>
    <w:rsid w:val="00145D9D"/>
    <w:rsid w:val="00146388"/>
    <w:rsid w:val="001529E5"/>
    <w:rsid w:val="00152FB3"/>
    <w:rsid w:val="00153C7E"/>
    <w:rsid w:val="00156B25"/>
    <w:rsid w:val="00156E1A"/>
    <w:rsid w:val="00157894"/>
    <w:rsid w:val="00157B55"/>
    <w:rsid w:val="001642FA"/>
    <w:rsid w:val="0016455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554"/>
    <w:rsid w:val="0019348F"/>
    <w:rsid w:val="00193A07"/>
    <w:rsid w:val="00194C95"/>
    <w:rsid w:val="00195C34"/>
    <w:rsid w:val="00196EF5"/>
    <w:rsid w:val="001A1A53"/>
    <w:rsid w:val="001A234A"/>
    <w:rsid w:val="001A4CF3"/>
    <w:rsid w:val="001A6696"/>
    <w:rsid w:val="001B06E8"/>
    <w:rsid w:val="001B71D0"/>
    <w:rsid w:val="001B71EE"/>
    <w:rsid w:val="001C04A8"/>
    <w:rsid w:val="001C0C41"/>
    <w:rsid w:val="001C2C03"/>
    <w:rsid w:val="001C320D"/>
    <w:rsid w:val="001C42F7"/>
    <w:rsid w:val="001C49E5"/>
    <w:rsid w:val="001C680C"/>
    <w:rsid w:val="001C7FEA"/>
    <w:rsid w:val="001D0499"/>
    <w:rsid w:val="001D0BBE"/>
    <w:rsid w:val="001D0ED4"/>
    <w:rsid w:val="001D212F"/>
    <w:rsid w:val="001D29D7"/>
    <w:rsid w:val="001D2DE7"/>
    <w:rsid w:val="001D411C"/>
    <w:rsid w:val="001E0FFD"/>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3E0"/>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207E"/>
    <w:rsid w:val="00344605"/>
    <w:rsid w:val="003474AA"/>
    <w:rsid w:val="00350D1D"/>
    <w:rsid w:val="00352C83"/>
    <w:rsid w:val="00352F1A"/>
    <w:rsid w:val="0035674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D61"/>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1FA"/>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83A"/>
    <w:rsid w:val="00441AE7"/>
    <w:rsid w:val="00445574"/>
    <w:rsid w:val="004467FB"/>
    <w:rsid w:val="00452D6B"/>
    <w:rsid w:val="00454484"/>
    <w:rsid w:val="0045517B"/>
    <w:rsid w:val="00461595"/>
    <w:rsid w:val="00463B77"/>
    <w:rsid w:val="00463C7B"/>
    <w:rsid w:val="004644A6"/>
    <w:rsid w:val="004659BD"/>
    <w:rsid w:val="00470775"/>
    <w:rsid w:val="004746B1"/>
    <w:rsid w:val="0047583F"/>
    <w:rsid w:val="00475DE8"/>
    <w:rsid w:val="00477DAA"/>
    <w:rsid w:val="00481C44"/>
    <w:rsid w:val="00483507"/>
    <w:rsid w:val="00484936"/>
    <w:rsid w:val="00485BD5"/>
    <w:rsid w:val="00485C89"/>
    <w:rsid w:val="00486BE3"/>
    <w:rsid w:val="004905E4"/>
    <w:rsid w:val="00490A89"/>
    <w:rsid w:val="00490AB4"/>
    <w:rsid w:val="00492F02"/>
    <w:rsid w:val="004939AE"/>
    <w:rsid w:val="004A12DF"/>
    <w:rsid w:val="004A1BA8"/>
    <w:rsid w:val="004A4B57"/>
    <w:rsid w:val="004A63FA"/>
    <w:rsid w:val="004A6A3D"/>
    <w:rsid w:val="004A7C83"/>
    <w:rsid w:val="004B0272"/>
    <w:rsid w:val="004B1F1A"/>
    <w:rsid w:val="004B2701"/>
    <w:rsid w:val="004B2E1B"/>
    <w:rsid w:val="004B3AA8"/>
    <w:rsid w:val="004B3E93"/>
    <w:rsid w:val="004C1FBC"/>
    <w:rsid w:val="004C25A2"/>
    <w:rsid w:val="004C3F1D"/>
    <w:rsid w:val="004C458D"/>
    <w:rsid w:val="004C4EAB"/>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F4F"/>
    <w:rsid w:val="00523F95"/>
    <w:rsid w:val="00524D65"/>
    <w:rsid w:val="00525B16"/>
    <w:rsid w:val="00530E34"/>
    <w:rsid w:val="00533D04"/>
    <w:rsid w:val="00534804"/>
    <w:rsid w:val="00534BDF"/>
    <w:rsid w:val="00534EF9"/>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4E92"/>
    <w:rsid w:val="00596160"/>
    <w:rsid w:val="005966E2"/>
    <w:rsid w:val="00597007"/>
    <w:rsid w:val="005A0364"/>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C14"/>
    <w:rsid w:val="005E6812"/>
    <w:rsid w:val="005E7881"/>
    <w:rsid w:val="005E78E0"/>
    <w:rsid w:val="005F0D9C"/>
    <w:rsid w:val="005F284E"/>
    <w:rsid w:val="005F7D9E"/>
    <w:rsid w:val="006015CE"/>
    <w:rsid w:val="00604784"/>
    <w:rsid w:val="00606419"/>
    <w:rsid w:val="00607D29"/>
    <w:rsid w:val="00612952"/>
    <w:rsid w:val="0061452E"/>
    <w:rsid w:val="00614CC1"/>
    <w:rsid w:val="00615A9D"/>
    <w:rsid w:val="00617387"/>
    <w:rsid w:val="006205D6"/>
    <w:rsid w:val="006208B7"/>
    <w:rsid w:val="006252D8"/>
    <w:rsid w:val="006259BC"/>
    <w:rsid w:val="0062636B"/>
    <w:rsid w:val="00632182"/>
    <w:rsid w:val="00632AE0"/>
    <w:rsid w:val="00633C17"/>
    <w:rsid w:val="00634D9E"/>
    <w:rsid w:val="00636E3E"/>
    <w:rsid w:val="006379F7"/>
    <w:rsid w:val="00637E4D"/>
    <w:rsid w:val="00640620"/>
    <w:rsid w:val="00641A1F"/>
    <w:rsid w:val="0064256E"/>
    <w:rsid w:val="00645904"/>
    <w:rsid w:val="00651ACB"/>
    <w:rsid w:val="00651C47"/>
    <w:rsid w:val="00652AB2"/>
    <w:rsid w:val="00653FED"/>
    <w:rsid w:val="006548EE"/>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63B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0A31"/>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1F89"/>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2B22"/>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FCB"/>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64EC"/>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E5A"/>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541F"/>
    <w:rsid w:val="009378DD"/>
    <w:rsid w:val="00941D45"/>
    <w:rsid w:val="009429D5"/>
    <w:rsid w:val="00942BF1"/>
    <w:rsid w:val="00945180"/>
    <w:rsid w:val="00945428"/>
    <w:rsid w:val="0094607B"/>
    <w:rsid w:val="00953604"/>
    <w:rsid w:val="0095496B"/>
    <w:rsid w:val="00960F1E"/>
    <w:rsid w:val="009610DC"/>
    <w:rsid w:val="00961490"/>
    <w:rsid w:val="0096381A"/>
    <w:rsid w:val="00965E04"/>
    <w:rsid w:val="0096724E"/>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3780"/>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798"/>
    <w:rsid w:val="00A14C8E"/>
    <w:rsid w:val="00A153D9"/>
    <w:rsid w:val="00A15F09"/>
    <w:rsid w:val="00A169B6"/>
    <w:rsid w:val="00A16EB6"/>
    <w:rsid w:val="00A2271D"/>
    <w:rsid w:val="00A237D5"/>
    <w:rsid w:val="00A27BB4"/>
    <w:rsid w:val="00A30EFC"/>
    <w:rsid w:val="00A31984"/>
    <w:rsid w:val="00A32D73"/>
    <w:rsid w:val="00A3367B"/>
    <w:rsid w:val="00A33C67"/>
    <w:rsid w:val="00A3597D"/>
    <w:rsid w:val="00A36DD1"/>
    <w:rsid w:val="00A4006C"/>
    <w:rsid w:val="00A40091"/>
    <w:rsid w:val="00A4030F"/>
    <w:rsid w:val="00A40433"/>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3ED"/>
    <w:rsid w:val="00A76FF7"/>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568"/>
    <w:rsid w:val="00AB6309"/>
    <w:rsid w:val="00AB6C5F"/>
    <w:rsid w:val="00AB7129"/>
    <w:rsid w:val="00AC27A6"/>
    <w:rsid w:val="00AC30F7"/>
    <w:rsid w:val="00AC3A5A"/>
    <w:rsid w:val="00AC4D95"/>
    <w:rsid w:val="00AC5DF4"/>
    <w:rsid w:val="00AD0AEF"/>
    <w:rsid w:val="00AD11B7"/>
    <w:rsid w:val="00AD1A94"/>
    <w:rsid w:val="00AD1C05"/>
    <w:rsid w:val="00AD3E03"/>
    <w:rsid w:val="00AD4126"/>
    <w:rsid w:val="00AD421C"/>
    <w:rsid w:val="00AD44FA"/>
    <w:rsid w:val="00AE070A"/>
    <w:rsid w:val="00AE101C"/>
    <w:rsid w:val="00AE2A69"/>
    <w:rsid w:val="00AE37E5"/>
    <w:rsid w:val="00AE5EB4"/>
    <w:rsid w:val="00AF0C18"/>
    <w:rsid w:val="00AF47C5"/>
    <w:rsid w:val="00AF5398"/>
    <w:rsid w:val="00B043B3"/>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721"/>
    <w:rsid w:val="00B378E5"/>
    <w:rsid w:val="00B4346D"/>
    <w:rsid w:val="00B440F4"/>
    <w:rsid w:val="00B447A5"/>
    <w:rsid w:val="00B4654C"/>
    <w:rsid w:val="00B47293"/>
    <w:rsid w:val="00B50E50"/>
    <w:rsid w:val="00B52120"/>
    <w:rsid w:val="00B52D35"/>
    <w:rsid w:val="00B54ABC"/>
    <w:rsid w:val="00B56FBE"/>
    <w:rsid w:val="00B60ACF"/>
    <w:rsid w:val="00B62B58"/>
    <w:rsid w:val="00B65149"/>
    <w:rsid w:val="00B65173"/>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0EF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EF1"/>
    <w:rsid w:val="00C80CB8"/>
    <w:rsid w:val="00C819F8"/>
    <w:rsid w:val="00C8248C"/>
    <w:rsid w:val="00C84E33"/>
    <w:rsid w:val="00C86D6F"/>
    <w:rsid w:val="00C9058A"/>
    <w:rsid w:val="00C905FC"/>
    <w:rsid w:val="00C92D03"/>
    <w:rsid w:val="00C9319C"/>
    <w:rsid w:val="00C9435D"/>
    <w:rsid w:val="00C94DF2"/>
    <w:rsid w:val="00C95AD5"/>
    <w:rsid w:val="00C96741"/>
    <w:rsid w:val="00CA2D1B"/>
    <w:rsid w:val="00CA375D"/>
    <w:rsid w:val="00CA50DE"/>
    <w:rsid w:val="00CA662A"/>
    <w:rsid w:val="00CA7AFD"/>
    <w:rsid w:val="00CA7C3C"/>
    <w:rsid w:val="00CB0189"/>
    <w:rsid w:val="00CB0BA2"/>
    <w:rsid w:val="00CB1A42"/>
    <w:rsid w:val="00CB1B0C"/>
    <w:rsid w:val="00CB2566"/>
    <w:rsid w:val="00CB2C0B"/>
    <w:rsid w:val="00CB517D"/>
    <w:rsid w:val="00CC038D"/>
    <w:rsid w:val="00CC08DB"/>
    <w:rsid w:val="00CC39FF"/>
    <w:rsid w:val="00CC3C2F"/>
    <w:rsid w:val="00CC4AC8"/>
    <w:rsid w:val="00CC5233"/>
    <w:rsid w:val="00CC5DE6"/>
    <w:rsid w:val="00CC6E4E"/>
    <w:rsid w:val="00CC6FE8"/>
    <w:rsid w:val="00CC7202"/>
    <w:rsid w:val="00CD1ED5"/>
    <w:rsid w:val="00CD2808"/>
    <w:rsid w:val="00CD28BF"/>
    <w:rsid w:val="00CD4092"/>
    <w:rsid w:val="00CD4A20"/>
    <w:rsid w:val="00CD50A1"/>
    <w:rsid w:val="00CD519E"/>
    <w:rsid w:val="00CE0C4F"/>
    <w:rsid w:val="00CE30EA"/>
    <w:rsid w:val="00CF048A"/>
    <w:rsid w:val="00CF155A"/>
    <w:rsid w:val="00CF1560"/>
    <w:rsid w:val="00CF2947"/>
    <w:rsid w:val="00CF686F"/>
    <w:rsid w:val="00CF6E60"/>
    <w:rsid w:val="00CF7BCA"/>
    <w:rsid w:val="00D00841"/>
    <w:rsid w:val="00D008FD"/>
    <w:rsid w:val="00D01F26"/>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5C1"/>
    <w:rsid w:val="00D352A2"/>
    <w:rsid w:val="00D4162B"/>
    <w:rsid w:val="00D4514F"/>
    <w:rsid w:val="00D451E2"/>
    <w:rsid w:val="00D45E89"/>
    <w:rsid w:val="00D45E8D"/>
    <w:rsid w:val="00D466AE"/>
    <w:rsid w:val="00D4734F"/>
    <w:rsid w:val="00D51BF3"/>
    <w:rsid w:val="00D52C4B"/>
    <w:rsid w:val="00D63FCE"/>
    <w:rsid w:val="00D66846"/>
    <w:rsid w:val="00D675FB"/>
    <w:rsid w:val="00D71F25"/>
    <w:rsid w:val="00D72312"/>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5BB"/>
    <w:rsid w:val="00E822E8"/>
    <w:rsid w:val="00E82554"/>
    <w:rsid w:val="00E82606"/>
    <w:rsid w:val="00E82E42"/>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B7B3E"/>
    <w:rsid w:val="00EC117D"/>
    <w:rsid w:val="00EC5359"/>
    <w:rsid w:val="00EC562A"/>
    <w:rsid w:val="00ED067A"/>
    <w:rsid w:val="00ED2B50"/>
    <w:rsid w:val="00EE0350"/>
    <w:rsid w:val="00EE0719"/>
    <w:rsid w:val="00EE0E80"/>
    <w:rsid w:val="00EE613F"/>
    <w:rsid w:val="00EE7295"/>
    <w:rsid w:val="00EE7869"/>
    <w:rsid w:val="00EE796D"/>
    <w:rsid w:val="00EF054A"/>
    <w:rsid w:val="00EF3235"/>
    <w:rsid w:val="00EF7E72"/>
    <w:rsid w:val="00F06D37"/>
    <w:rsid w:val="00F07B9D"/>
    <w:rsid w:val="00F11586"/>
    <w:rsid w:val="00F1183B"/>
    <w:rsid w:val="00F11C9F"/>
    <w:rsid w:val="00F12263"/>
    <w:rsid w:val="00F13657"/>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247"/>
    <w:rsid w:val="00FE3901"/>
    <w:rsid w:val="00FE39D3"/>
    <w:rsid w:val="00FE4BCE"/>
    <w:rsid w:val="00FE54AE"/>
    <w:rsid w:val="00FE576A"/>
    <w:rsid w:val="00FE7E79"/>
    <w:rsid w:val="00FF3E7D"/>
    <w:rsid w:val="00FF5B99"/>
    <w:rsid w:val="00FF5D53"/>
    <w:rsid w:val="00FF5FE7"/>
    <w:rsid w:val="00FF730C"/>
    <w:rsid w:val="00FF73F4"/>
    <w:rsid w:val="00FF7CE4"/>
    <w:rsid w:val="00FF7E39"/>
    <w:rsid w:val="01AE5944"/>
    <w:rsid w:val="032A1043"/>
    <w:rsid w:val="03C336AE"/>
    <w:rsid w:val="05127C90"/>
    <w:rsid w:val="07EA2C20"/>
    <w:rsid w:val="08602EE2"/>
    <w:rsid w:val="09B905E7"/>
    <w:rsid w:val="0C49044A"/>
    <w:rsid w:val="0FE465D5"/>
    <w:rsid w:val="12136263"/>
    <w:rsid w:val="15EE2139"/>
    <w:rsid w:val="187E2041"/>
    <w:rsid w:val="1A70446A"/>
    <w:rsid w:val="1D6D27AB"/>
    <w:rsid w:val="20434E23"/>
    <w:rsid w:val="208B33A9"/>
    <w:rsid w:val="20B90B59"/>
    <w:rsid w:val="20F6701D"/>
    <w:rsid w:val="218850C1"/>
    <w:rsid w:val="22CC10AB"/>
    <w:rsid w:val="266210F7"/>
    <w:rsid w:val="28043C6A"/>
    <w:rsid w:val="28E60D8A"/>
    <w:rsid w:val="2DB63420"/>
    <w:rsid w:val="321333B3"/>
    <w:rsid w:val="353572E4"/>
    <w:rsid w:val="377216E1"/>
    <w:rsid w:val="384A40FD"/>
    <w:rsid w:val="39A8746B"/>
    <w:rsid w:val="3D5278D3"/>
    <w:rsid w:val="3F544847"/>
    <w:rsid w:val="3FB67787"/>
    <w:rsid w:val="49AE449B"/>
    <w:rsid w:val="49C10D2B"/>
    <w:rsid w:val="4CDD30CB"/>
    <w:rsid w:val="51AE1474"/>
    <w:rsid w:val="52381CC4"/>
    <w:rsid w:val="54DF48B9"/>
    <w:rsid w:val="561A5A4B"/>
    <w:rsid w:val="56384123"/>
    <w:rsid w:val="56F67869"/>
    <w:rsid w:val="57365827"/>
    <w:rsid w:val="57796694"/>
    <w:rsid w:val="57FB5111"/>
    <w:rsid w:val="59E00D5A"/>
    <w:rsid w:val="59F760A3"/>
    <w:rsid w:val="5AD429F6"/>
    <w:rsid w:val="60795261"/>
    <w:rsid w:val="623B56C7"/>
    <w:rsid w:val="62B61E66"/>
    <w:rsid w:val="63102241"/>
    <w:rsid w:val="675D701C"/>
    <w:rsid w:val="69564B94"/>
    <w:rsid w:val="6B2C6877"/>
    <w:rsid w:val="6BD050D2"/>
    <w:rsid w:val="6C4F6DA0"/>
    <w:rsid w:val="6EA82E32"/>
    <w:rsid w:val="70CB2853"/>
    <w:rsid w:val="73AD347B"/>
    <w:rsid w:val="74106BF1"/>
    <w:rsid w:val="74235FBB"/>
    <w:rsid w:val="75B07D22"/>
    <w:rsid w:val="76712649"/>
    <w:rsid w:val="772313AA"/>
    <w:rsid w:val="787E0521"/>
    <w:rsid w:val="78D23F5A"/>
    <w:rsid w:val="78FA3D25"/>
    <w:rsid w:val="7A762D32"/>
    <w:rsid w:val="7E46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index 7"/>
    <w:basedOn w:val="1"/>
    <w:next w:val="1"/>
    <w:unhideWhenUsed/>
    <w:qFormat/>
    <w:uiPriority w:val="0"/>
    <w:pPr>
      <w:ind w:left="2520"/>
    </w:pPr>
    <w:rPr>
      <w:rFonts w:ascii="等线" w:hAnsi="等线" w:eastAsia="等线"/>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Heading 1 Char"/>
    <w:link w:val="2"/>
    <w:qFormat/>
    <w:uiPriority w:val="0"/>
    <w:rPr>
      <w:b/>
      <w:bCs/>
      <w:kern w:val="44"/>
      <w:sz w:val="44"/>
      <w:szCs w:val="44"/>
    </w:rPr>
  </w:style>
  <w:style w:type="character" w:customStyle="1" w:styleId="36">
    <w:name w:val="Heading 2 Char"/>
    <w:link w:val="3"/>
    <w:qFormat/>
    <w:uiPriority w:val="0"/>
    <w:rPr>
      <w:rFonts w:ascii="Arial" w:hAnsi="Arial" w:eastAsia="黑体"/>
      <w:b/>
      <w:bCs/>
      <w:kern w:val="2"/>
      <w:sz w:val="32"/>
      <w:szCs w:val="32"/>
    </w:rPr>
  </w:style>
  <w:style w:type="character" w:customStyle="1" w:styleId="37">
    <w:name w:val="Heading 3 Char"/>
    <w:link w:val="4"/>
    <w:qFormat/>
    <w:uiPriority w:val="0"/>
    <w:rPr>
      <w:b/>
      <w:bCs/>
      <w:kern w:val="2"/>
      <w:sz w:val="32"/>
      <w:szCs w:val="32"/>
    </w:rPr>
  </w:style>
  <w:style w:type="character" w:customStyle="1" w:styleId="38">
    <w:name w:val="Heading 4 Char"/>
    <w:link w:val="5"/>
    <w:qFormat/>
    <w:uiPriority w:val="0"/>
    <w:rPr>
      <w:rFonts w:ascii="Arial" w:hAnsi="Arial" w:eastAsia="黑体"/>
      <w:b/>
      <w:bCs/>
      <w:kern w:val="2"/>
      <w:sz w:val="28"/>
      <w:szCs w:val="28"/>
    </w:rPr>
  </w:style>
  <w:style w:type="character" w:customStyle="1" w:styleId="39">
    <w:name w:val="Heading 5 Char"/>
    <w:link w:val="6"/>
    <w:qFormat/>
    <w:uiPriority w:val="0"/>
    <w:rPr>
      <w:b/>
      <w:bCs/>
      <w:kern w:val="2"/>
      <w:sz w:val="28"/>
      <w:szCs w:val="28"/>
    </w:rPr>
  </w:style>
  <w:style w:type="character" w:customStyle="1" w:styleId="40">
    <w:name w:val="Heading 6 Char"/>
    <w:link w:val="7"/>
    <w:qFormat/>
    <w:uiPriority w:val="0"/>
    <w:rPr>
      <w:rFonts w:ascii="Arial" w:hAnsi="Arial" w:eastAsia="黑体"/>
      <w:b/>
      <w:bCs/>
      <w:kern w:val="2"/>
      <w:sz w:val="24"/>
      <w:szCs w:val="24"/>
    </w:rPr>
  </w:style>
  <w:style w:type="character" w:customStyle="1" w:styleId="41">
    <w:name w:val="Heading 7 Char"/>
    <w:link w:val="8"/>
    <w:qFormat/>
    <w:uiPriority w:val="0"/>
    <w:rPr>
      <w:b/>
      <w:bCs/>
      <w:kern w:val="2"/>
      <w:sz w:val="24"/>
      <w:szCs w:val="24"/>
    </w:rPr>
  </w:style>
  <w:style w:type="character" w:customStyle="1" w:styleId="42">
    <w:name w:val="Heading 8 Char"/>
    <w:link w:val="9"/>
    <w:qFormat/>
    <w:uiPriority w:val="0"/>
    <w:rPr>
      <w:rFonts w:ascii="Arial" w:hAnsi="Arial" w:eastAsia="黑体"/>
      <w:kern w:val="2"/>
      <w:sz w:val="24"/>
      <w:szCs w:val="24"/>
    </w:rPr>
  </w:style>
  <w:style w:type="character" w:customStyle="1" w:styleId="43">
    <w:name w:val="Heading 9 Char"/>
    <w:link w:val="10"/>
    <w:qFormat/>
    <w:uiPriority w:val="0"/>
    <w:rPr>
      <w:rFonts w:ascii="Arial" w:hAnsi="Arial" w:eastAsia="黑体"/>
      <w:kern w:val="2"/>
      <w:sz w:val="21"/>
      <w:szCs w:val="21"/>
    </w:rPr>
  </w:style>
  <w:style w:type="character" w:customStyle="1" w:styleId="44">
    <w:name w:val="Header Char"/>
    <w:link w:val="18"/>
    <w:qFormat/>
    <w:uiPriority w:val="99"/>
    <w:rPr>
      <w:kern w:val="2"/>
      <w:sz w:val="18"/>
      <w:szCs w:val="18"/>
    </w:rPr>
  </w:style>
  <w:style w:type="character" w:customStyle="1" w:styleId="45">
    <w:name w:val="Footer Char"/>
    <w:link w:val="17"/>
    <w:qFormat/>
    <w:uiPriority w:val="99"/>
    <w:rPr>
      <w:rFonts w:ascii="宋体"/>
      <w:kern w:val="2"/>
      <w:sz w:val="18"/>
      <w:szCs w:val="18"/>
    </w:rPr>
  </w:style>
  <w:style w:type="character" w:customStyle="1" w:styleId="46">
    <w:name w:val="Balloon Text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Quote Char"/>
    <w:link w:val="47"/>
    <w:qFormat/>
    <w:uiPriority w:val="29"/>
    <w:rPr>
      <w:i/>
      <w:iCs/>
      <w:color w:val="000000"/>
      <w:kern w:val="2"/>
      <w:sz w:val="21"/>
      <w:szCs w:val="21"/>
    </w:rPr>
  </w:style>
  <w:style w:type="character" w:customStyle="1" w:styleId="49">
    <w:name w:val="Title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ind w:left="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Body Text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Footnote Text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character" w:customStyle="1" w:styleId="233">
    <w:name w:val="未处理的提及1"/>
    <w:basedOn w:val="29"/>
    <w:semiHidden/>
    <w:unhideWhenUsed/>
    <w:qFormat/>
    <w:uiPriority w:val="99"/>
    <w:rPr>
      <w:color w:val="605E5C"/>
      <w:shd w:val="clear" w:color="auto" w:fill="E1DFDD"/>
    </w:rPr>
  </w:style>
  <w:style w:type="paragraph" w:customStyle="1" w:styleId="23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3A2D58D6D849859A51C62D26ECAB3F"/>
        <w:style w:val=""/>
        <w:category>
          <w:name w:val="General"/>
          <w:gallery w:val="placeholder"/>
        </w:category>
        <w:types>
          <w:type w:val="bbPlcHdr"/>
        </w:types>
        <w:behaviors>
          <w:behavior w:val="content"/>
        </w:behaviors>
        <w:description w:val=""/>
        <w:guid w:val="{2DEB15D0-E3F6-4594-8FC1-8ED590364773}"/>
      </w:docPartPr>
      <w:docPartBody>
        <w:p w14:paraId="5A9477FA">
          <w:pPr>
            <w:pStyle w:val="5"/>
          </w:pPr>
          <w:r>
            <w:rPr>
              <w:rStyle w:val="4"/>
              <w:rFonts w:hint="eastAsia"/>
            </w:rPr>
            <w:t>单击或点击此处输入文字。</w:t>
          </w:r>
        </w:p>
      </w:docPartBody>
    </w:docPart>
    <w:docPart>
      <w:docPartPr>
        <w:name w:val="05658745C3E14888A81E58AC3CD14210"/>
        <w:style w:val=""/>
        <w:category>
          <w:name w:val="General"/>
          <w:gallery w:val="placeholder"/>
        </w:category>
        <w:types>
          <w:type w:val="bbPlcHdr"/>
        </w:types>
        <w:behaviors>
          <w:behavior w:val="content"/>
        </w:behaviors>
        <w:description w:val=""/>
        <w:guid w:val="{63634EC9-05D3-4B98-BC0E-E50BF8267D9A}"/>
      </w:docPartPr>
      <w:docPartBody>
        <w:p w14:paraId="6A163E0F">
          <w:pPr>
            <w:pStyle w:val="6"/>
          </w:pPr>
          <w:r>
            <w:rPr>
              <w:rStyle w:val="4"/>
              <w:rFonts w:hint="eastAsia"/>
            </w:rPr>
            <w:t>选择一项。</w:t>
          </w:r>
        </w:p>
      </w:docPartBody>
    </w:docPart>
    <w:docPart>
      <w:docPartPr>
        <w:name w:val="11AEB22BF1624B07B8F340787C90C357"/>
        <w:style w:val=""/>
        <w:category>
          <w:name w:val="General"/>
          <w:gallery w:val="placeholder"/>
        </w:category>
        <w:types>
          <w:type w:val="bbPlcHdr"/>
        </w:types>
        <w:behaviors>
          <w:behavior w:val="content"/>
        </w:behaviors>
        <w:description w:val=""/>
        <w:guid w:val="{60A5AADF-25FB-4A9A-8242-572D7E5EB724}"/>
      </w:docPartPr>
      <w:docPartBody>
        <w:p w14:paraId="0C36F168">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59"/>
    <w:rsid w:val="0004429F"/>
    <w:rsid w:val="000462FB"/>
    <w:rsid w:val="00072EB9"/>
    <w:rsid w:val="000D09D0"/>
    <w:rsid w:val="00101714"/>
    <w:rsid w:val="001552A4"/>
    <w:rsid w:val="001A59B0"/>
    <w:rsid w:val="001C0C41"/>
    <w:rsid w:val="001F1021"/>
    <w:rsid w:val="00246C49"/>
    <w:rsid w:val="00374372"/>
    <w:rsid w:val="0048323B"/>
    <w:rsid w:val="004C4EAB"/>
    <w:rsid w:val="00594E92"/>
    <w:rsid w:val="005E4C14"/>
    <w:rsid w:val="006208B7"/>
    <w:rsid w:val="00645060"/>
    <w:rsid w:val="006548EE"/>
    <w:rsid w:val="00803D6D"/>
    <w:rsid w:val="008564EC"/>
    <w:rsid w:val="00940FDE"/>
    <w:rsid w:val="00AD3E03"/>
    <w:rsid w:val="00B75259"/>
    <w:rsid w:val="00C9058A"/>
    <w:rsid w:val="00CD1ED5"/>
    <w:rsid w:val="00CF3CB8"/>
    <w:rsid w:val="00D51F76"/>
    <w:rsid w:val="00E070C7"/>
    <w:rsid w:val="00E14F38"/>
    <w:rsid w:val="00E80F0D"/>
    <w:rsid w:val="00EF7DC6"/>
    <w:rsid w:val="00F13657"/>
    <w:rsid w:val="00F15B11"/>
    <w:rsid w:val="00F1680F"/>
    <w:rsid w:val="00FC7011"/>
    <w:rsid w:val="00FF5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A3A2D58D6D849859A51C62D26ECAB3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05658745C3E14888A81E58AC3CD1421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1AEB22BF1624B07B8F340787C90C35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9C889-7B4B-4654-90BA-246FE6728AF1}">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13</Pages>
  <Words>7254</Words>
  <Characters>8161</Characters>
  <Lines>68</Lines>
  <Paragraphs>19</Paragraphs>
  <TotalTime>0</TotalTime>
  <ScaleCrop>false</ScaleCrop>
  <LinksUpToDate>false</LinksUpToDate>
  <CharactersWithSpaces>8327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2024-09-18T06:05:00Z</dcterms:created>
  <dc:creator>zhi xu</dc:creator>
  <dc:description>&lt;config cover="true" show_menu="true" version="1.0.0" doctype="SDKXY"&gt;_x000d_
&lt;/config&gt;</dc:description>
  <cp:lastModifiedBy>陈静</cp:lastModifiedBy>
  <cp:lastPrinted>2021-02-02T08:22:00Z</cp:lastPrinted>
  <dcterms:modified xsi:type="dcterms:W3CDTF">2025-09-09T08:30:38Z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9CACB87BE0B04C69850B61D911A22990_13</vt:lpwstr>
  </property>
  <property fmtid="{D5CDD505-2E9C-101B-9397-08002B2CF9AE}" pid="16" name="KSOTemplateDocerSaveRecord">
    <vt:lpwstr>eyJoZGlkIjoiMzEwNTM5NzYwMDRjMzkwZTVkZjY2ODkwMGIxNGU0OTUiLCJ1c2VySWQiOiI1NDQyNjA0NTcifQ==</vt:lpwstr>
  </property>
</Properties>
</file>